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7ED8" w:rsidRDefault="00DF7ED8">
      <w:pPr>
        <w:pStyle w:val="Paragraphedeliste"/>
        <w:ind w:left="0"/>
        <w:jc w:val="center"/>
        <w:rPr>
          <w:rFonts w:ascii="Arial" w:hAnsi="Arial" w:cs="Arial"/>
          <w:b/>
          <w:sz w:val="22"/>
          <w:szCs w:val="22"/>
          <w:lang w:val="nl-BE"/>
        </w:rPr>
      </w:pPr>
      <w:bookmarkStart w:id="0" w:name="_GoBack"/>
      <w:bookmarkEnd w:id="0"/>
    </w:p>
    <w:p w:rsidR="00DF7ED8" w:rsidRDefault="00832153">
      <w:pPr>
        <w:pStyle w:val="En-tte"/>
        <w:jc w:val="center"/>
        <w:rPr>
          <w:b/>
          <w:sz w:val="36"/>
          <w:szCs w:val="36"/>
          <w:lang w:val="fr-BE"/>
        </w:rPr>
      </w:pPr>
      <w:r>
        <w:rPr>
          <w:b/>
          <w:sz w:val="36"/>
          <w:szCs w:val="36"/>
          <w:lang w:val="fr-BE"/>
        </w:rPr>
        <w:t>JEAN GLIBERT. PEINTRE EN B</w:t>
      </w:r>
      <w:r>
        <w:rPr>
          <w:rFonts w:cstheme="minorHAnsi"/>
          <w:b/>
          <w:sz w:val="36"/>
          <w:szCs w:val="36"/>
          <w:lang w:val="fr-BE"/>
        </w:rPr>
        <w:t>Â</w:t>
      </w:r>
      <w:r>
        <w:rPr>
          <w:b/>
          <w:sz w:val="36"/>
          <w:szCs w:val="36"/>
          <w:lang w:val="fr-BE"/>
        </w:rPr>
        <w:t>TIMENT</w:t>
      </w:r>
    </w:p>
    <w:p w:rsidR="00DF7ED8" w:rsidRDefault="00DF7ED8">
      <w:pPr>
        <w:pStyle w:val="Paragraphedeliste"/>
        <w:ind w:left="0"/>
        <w:jc w:val="center"/>
        <w:rPr>
          <w:rFonts w:ascii="Arial" w:hAnsi="Arial" w:cs="Arial"/>
          <w:b/>
          <w:sz w:val="22"/>
          <w:szCs w:val="22"/>
          <w:lang w:val="nl-BE"/>
        </w:rPr>
      </w:pPr>
    </w:p>
    <w:p w:rsidR="00DF7ED8" w:rsidRDefault="00DF7ED8">
      <w:pPr>
        <w:pStyle w:val="Paragraphedeliste"/>
        <w:ind w:left="0"/>
        <w:jc w:val="center"/>
        <w:rPr>
          <w:rFonts w:ascii="Arial" w:hAnsi="Arial" w:cs="Arial"/>
          <w:b/>
          <w:sz w:val="22"/>
          <w:szCs w:val="22"/>
          <w:lang w:val="nl-BE"/>
        </w:rPr>
      </w:pPr>
    </w:p>
    <w:p w:rsidR="00DF7ED8" w:rsidRDefault="00DF7ED8">
      <w:pPr>
        <w:pStyle w:val="Paragraphedeliste"/>
        <w:ind w:left="0"/>
        <w:jc w:val="center"/>
        <w:rPr>
          <w:rFonts w:ascii="Arial" w:hAnsi="Arial" w:cs="Arial"/>
          <w:b/>
          <w:sz w:val="22"/>
          <w:szCs w:val="22"/>
          <w:lang w:val="nl-BE"/>
        </w:rPr>
      </w:pPr>
    </w:p>
    <w:p w:rsidR="00DF7ED8" w:rsidRDefault="00832153">
      <w:pPr>
        <w:pStyle w:val="Paragraphedeliste"/>
        <w:ind w:left="0"/>
        <w:jc w:val="center"/>
        <w:rPr>
          <w:rFonts w:ascii="Arial" w:hAnsi="Arial" w:cs="Arial"/>
          <w:b/>
          <w:sz w:val="22"/>
          <w:szCs w:val="22"/>
          <w:lang w:val="nl-BE"/>
        </w:rPr>
      </w:pPr>
      <w:r>
        <w:rPr>
          <w:noProof/>
          <w:lang w:val="fr-BE" w:eastAsia="fr-BE"/>
        </w:rPr>
        <w:drawing>
          <wp:inline distT="0" distB="0" distL="0" distR="0">
            <wp:extent cx="5257799" cy="3505200"/>
            <wp:effectExtent l="0" t="0" r="635" b="0"/>
            <wp:docPr id="9" name="Image 9" descr="C:\Users\xle\AppData\Local\Microsoft\Windows\INetCache\Content.Word\_MG_4368.jean.glibert.sal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xle\AppData\Local\Microsoft\Windows\INetCache\Content.Word\_MG_4368.jean.glibert.salle.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6627" cy="3511085"/>
                    </a:xfrm>
                    <a:prstGeom prst="rect">
                      <a:avLst/>
                    </a:prstGeom>
                    <a:noFill/>
                    <a:ln>
                      <a:noFill/>
                    </a:ln>
                  </pic:spPr>
                </pic:pic>
              </a:graphicData>
            </a:graphic>
          </wp:inline>
        </w:drawing>
      </w:r>
    </w:p>
    <w:p w:rsidR="00DF7ED8" w:rsidRDefault="00DF7ED8">
      <w:pPr>
        <w:pStyle w:val="Paragraphedeliste"/>
        <w:ind w:left="0"/>
        <w:rPr>
          <w:rFonts w:ascii="Arial" w:hAnsi="Arial" w:cs="Arial"/>
          <w:b/>
          <w:sz w:val="22"/>
          <w:szCs w:val="22"/>
          <w:lang w:val="nl-BE"/>
        </w:rPr>
      </w:pPr>
    </w:p>
    <w:p w:rsidR="00DF7ED8" w:rsidRDefault="00DF7ED8">
      <w:pPr>
        <w:pStyle w:val="Paragraphedeliste"/>
        <w:ind w:left="0"/>
        <w:rPr>
          <w:rFonts w:ascii="Arial" w:hAnsi="Arial" w:cs="Arial"/>
          <w:b/>
          <w:sz w:val="22"/>
          <w:szCs w:val="22"/>
          <w:lang w:val="nl-BE"/>
        </w:rPr>
      </w:pPr>
    </w:p>
    <w:p w:rsidR="00DF7ED8" w:rsidRDefault="00832153">
      <w:pPr>
        <w:pStyle w:val="Paragraphedeliste"/>
        <w:ind w:left="0"/>
        <w:jc w:val="center"/>
        <w:rPr>
          <w:rFonts w:ascii="Arial" w:hAnsi="Arial" w:cs="Arial"/>
          <w:b/>
          <w:sz w:val="22"/>
          <w:szCs w:val="22"/>
          <w:highlight w:val="lightGray"/>
          <w:lang w:val="nl-BE"/>
        </w:rPr>
      </w:pPr>
      <w:r>
        <w:rPr>
          <w:noProof/>
          <w:lang w:val="fr-BE" w:eastAsia="fr-BE"/>
        </w:rPr>
        <w:drawing>
          <wp:inline distT="0" distB="0" distL="0" distR="0">
            <wp:extent cx="5213403" cy="3937635"/>
            <wp:effectExtent l="0" t="0" r="6350" b="5715"/>
            <wp:docPr id="7" name="Image 7" descr="C:\Users\xle\AppData\Local\Microsoft\Windows\INetCache\Content.Word\_MG_4537.jean.glibert.salle.vide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xle\AppData\Local\Microsoft\Windows\INetCache\Content.Word\_MG_4537.jean.glibert.salle.vide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2087" cy="3951747"/>
                    </a:xfrm>
                    <a:prstGeom prst="rect">
                      <a:avLst/>
                    </a:prstGeom>
                    <a:noFill/>
                    <a:ln>
                      <a:noFill/>
                    </a:ln>
                  </pic:spPr>
                </pic:pic>
              </a:graphicData>
            </a:graphic>
          </wp:inline>
        </w:drawing>
      </w:r>
    </w:p>
    <w:p w:rsidR="00DF7ED8" w:rsidRDefault="00DF7ED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Style w:val="Lienhypertexte"/>
          <w:rFonts w:ascii="Bozar AM" w:hAnsi="Bozar AM" w:cs="Helvetica"/>
          <w:bCs/>
          <w:color w:val="auto"/>
          <w:szCs w:val="20"/>
        </w:rPr>
      </w:pPr>
    </w:p>
    <w:sdt>
      <w:sdtPr>
        <w:rPr>
          <w:rFonts w:asciiTheme="minorHAnsi" w:eastAsiaTheme="minorEastAsia" w:hAnsiTheme="minorHAnsi" w:cstheme="minorBidi"/>
          <w:color w:val="0563C1" w:themeColor="hyperlink"/>
          <w:sz w:val="24"/>
          <w:szCs w:val="24"/>
          <w:u w:val="single"/>
          <w:lang w:val="fr-FR" w:eastAsia="ja-JP"/>
        </w:rPr>
        <w:id w:val="597287095"/>
        <w:docPartObj>
          <w:docPartGallery w:val="Table of Contents"/>
          <w:docPartUnique/>
        </w:docPartObj>
      </w:sdtPr>
      <w:sdtEndPr>
        <w:rPr>
          <w:b/>
          <w:bCs/>
          <w:noProof/>
          <w:color w:val="auto"/>
          <w:u w:val="none"/>
        </w:rPr>
      </w:sdtEndPr>
      <w:sdtContent>
        <w:p w:rsidR="00DF7ED8" w:rsidRDefault="00832153">
          <w:pPr>
            <w:pStyle w:val="En-ttedetabledesmatires"/>
          </w:pPr>
          <w:r>
            <w:t>Table des matières</w:t>
          </w:r>
        </w:p>
        <w:p w:rsidR="00DF7ED8" w:rsidRDefault="00832153">
          <w:pPr>
            <w:pStyle w:val="TM1"/>
            <w:tabs>
              <w:tab w:val="left" w:pos="440"/>
              <w:tab w:val="right" w:leader="dot" w:pos="9056"/>
            </w:tabs>
            <w:rPr>
              <w:noProof/>
              <w:sz w:val="22"/>
              <w:szCs w:val="22"/>
              <w:lang w:val="nl-BE" w:eastAsia="nl-BE"/>
            </w:rPr>
          </w:pPr>
          <w:r>
            <w:fldChar w:fldCharType="begin"/>
          </w:r>
          <w:r>
            <w:instrText xml:space="preserve"> TOC \o "1-3" \h \z \u </w:instrText>
          </w:r>
          <w:r>
            <w:fldChar w:fldCharType="separate"/>
          </w:r>
          <w:hyperlink w:anchor="_Toc494977001" w:history="1">
            <w:r>
              <w:rPr>
                <w:rStyle w:val="Lienhypertexte"/>
                <w:rFonts w:ascii="Bozar AM" w:hAnsi="Bozar AM"/>
                <w:noProof/>
              </w:rPr>
              <w:t>1.</w:t>
            </w:r>
            <w:r>
              <w:rPr>
                <w:noProof/>
                <w:sz w:val="22"/>
                <w:szCs w:val="22"/>
                <w:lang w:val="nl-BE" w:eastAsia="nl-BE"/>
              </w:rPr>
              <w:t xml:space="preserve"> </w:t>
            </w:r>
            <w:r>
              <w:rPr>
                <w:rStyle w:val="Lienhypertexte"/>
                <w:rFonts w:ascii="Calibri" w:hAnsi="Calibri"/>
                <w:noProof/>
              </w:rPr>
              <w:t>L’exposition</w:t>
            </w:r>
            <w:r>
              <w:rPr>
                <w:noProof/>
                <w:webHidden/>
              </w:rPr>
              <w:tab/>
              <w:t>3</w:t>
            </w:r>
          </w:hyperlink>
        </w:p>
        <w:p w:rsidR="00DF7ED8" w:rsidRDefault="00832153">
          <w:pPr>
            <w:pStyle w:val="TM2"/>
            <w:tabs>
              <w:tab w:val="right" w:leader="dot" w:pos="9056"/>
            </w:tabs>
            <w:rPr>
              <w:noProof/>
            </w:rPr>
          </w:pPr>
          <w:hyperlink w:anchor="_Toc494977002" w:history="1">
            <w:r>
              <w:rPr>
                <w:rStyle w:val="Lienhypertexte"/>
                <w:noProof/>
              </w:rPr>
              <w:t>Introduction</w:t>
            </w:r>
            <w:r>
              <w:rPr>
                <w:noProof/>
                <w:webHidden/>
              </w:rPr>
              <w:tab/>
              <w:t>3</w:t>
            </w:r>
          </w:hyperlink>
        </w:p>
        <w:p w:rsidR="00DF7ED8" w:rsidRDefault="00832153">
          <w:pPr>
            <w:pStyle w:val="TM2"/>
            <w:tabs>
              <w:tab w:val="right" w:leader="dot" w:pos="9056"/>
            </w:tabs>
            <w:rPr>
              <w:noProof/>
            </w:rPr>
          </w:pPr>
          <w:hyperlink w:anchor="_Toc494977003" w:history="1">
            <w:r>
              <w:rPr>
                <w:rStyle w:val="Lienhypertexte"/>
                <w:noProof/>
              </w:rPr>
              <w:t>Architecture</w:t>
            </w:r>
            <w:r>
              <w:rPr>
                <w:noProof/>
                <w:webHidden/>
              </w:rPr>
              <w:tab/>
              <w:t>4</w:t>
            </w:r>
          </w:hyperlink>
        </w:p>
        <w:p w:rsidR="00DF7ED8" w:rsidRDefault="00832153">
          <w:pPr>
            <w:pStyle w:val="TM2"/>
            <w:tabs>
              <w:tab w:val="right" w:leader="dot" w:pos="9056"/>
            </w:tabs>
            <w:rPr>
              <w:noProof/>
            </w:rPr>
          </w:pPr>
          <w:hyperlink w:anchor="_Toc494977004" w:history="1">
            <w:r>
              <w:rPr>
                <w:rStyle w:val="Lienhypertexte"/>
                <w:noProof/>
              </w:rPr>
              <w:t>Collectes</w:t>
            </w:r>
            <w:r>
              <w:rPr>
                <w:noProof/>
                <w:webHidden/>
              </w:rPr>
              <w:tab/>
              <w:t>5</w:t>
            </w:r>
          </w:hyperlink>
        </w:p>
        <w:p w:rsidR="00DF7ED8" w:rsidRDefault="00832153">
          <w:pPr>
            <w:pStyle w:val="TM2"/>
            <w:tabs>
              <w:tab w:val="right" w:leader="dot" w:pos="9056"/>
            </w:tabs>
            <w:rPr>
              <w:noProof/>
            </w:rPr>
          </w:pPr>
          <w:hyperlink w:anchor="_Toc494977005" w:history="1">
            <w:r>
              <w:rPr>
                <w:rStyle w:val="Lienhypertexte"/>
                <w:noProof/>
              </w:rPr>
              <w:t>Peintures photos recherches</w:t>
            </w:r>
            <w:r>
              <w:rPr>
                <w:noProof/>
                <w:webHidden/>
              </w:rPr>
              <w:tab/>
              <w:t>6</w:t>
            </w:r>
          </w:hyperlink>
        </w:p>
        <w:p w:rsidR="00DF7ED8" w:rsidRDefault="00832153">
          <w:pPr>
            <w:pStyle w:val="TM2"/>
            <w:tabs>
              <w:tab w:val="right" w:leader="dot" w:pos="9056"/>
            </w:tabs>
            <w:rPr>
              <w:noProof/>
            </w:rPr>
          </w:pPr>
          <w:hyperlink w:anchor="_Toc494977006" w:history="1">
            <w:r>
              <w:rPr>
                <w:rStyle w:val="Lienhypertexte"/>
                <w:noProof/>
              </w:rPr>
              <w:t>Interventions in situ</w:t>
            </w:r>
            <w:r>
              <w:rPr>
                <w:noProof/>
                <w:webHidden/>
              </w:rPr>
              <w:tab/>
              <w:t>7</w:t>
            </w:r>
          </w:hyperlink>
        </w:p>
        <w:p w:rsidR="00DF7ED8" w:rsidRDefault="00832153">
          <w:pPr>
            <w:pStyle w:val="TM1"/>
            <w:tabs>
              <w:tab w:val="right" w:leader="dot" w:pos="9056"/>
            </w:tabs>
            <w:rPr>
              <w:noProof/>
              <w:sz w:val="22"/>
              <w:szCs w:val="22"/>
              <w:lang w:val="nl-BE" w:eastAsia="nl-BE"/>
            </w:rPr>
          </w:pPr>
          <w:hyperlink w:anchor="_Toc494977007" w:history="1">
            <w:r>
              <w:rPr>
                <w:rStyle w:val="Lienhypertexte"/>
                <w:noProof/>
              </w:rPr>
              <w:t>2. Biographie de Jean Glibert</w:t>
            </w:r>
            <w:r>
              <w:rPr>
                <w:noProof/>
                <w:webHidden/>
              </w:rPr>
              <w:tab/>
              <w:t>9</w:t>
            </w:r>
          </w:hyperlink>
        </w:p>
        <w:p w:rsidR="00DF7ED8" w:rsidRDefault="00832153">
          <w:pPr>
            <w:pStyle w:val="TM1"/>
            <w:tabs>
              <w:tab w:val="right" w:leader="dot" w:pos="9056"/>
            </w:tabs>
            <w:rPr>
              <w:noProof/>
            </w:rPr>
          </w:pPr>
          <w:hyperlink w:anchor="_Toc494977009" w:history="1">
            <w:r>
              <w:rPr>
                <w:rStyle w:val="Lienhypertexte"/>
                <w:noProof/>
              </w:rPr>
              <w:t>4. Publications</w:t>
            </w:r>
            <w:r>
              <w:rPr>
                <w:noProof/>
                <w:webHidden/>
              </w:rPr>
              <w:tab/>
              <w:t>1</w:t>
            </w:r>
          </w:hyperlink>
          <w:r>
            <w:rPr>
              <w:noProof/>
            </w:rPr>
            <w:t>1</w:t>
          </w:r>
        </w:p>
        <w:p w:rsidR="00DF7ED8" w:rsidRDefault="00832153">
          <w:r>
            <w:t>5. Fiche technique……………………………………………………………………………………………………………….12</w:t>
          </w:r>
        </w:p>
        <w:p w:rsidR="00DF7ED8" w:rsidRDefault="00832153">
          <w:r>
            <w:rPr>
              <w:b/>
              <w:bCs/>
              <w:noProof/>
            </w:rPr>
            <w:fldChar w:fldCharType="end"/>
          </w:r>
        </w:p>
      </w:sdtContent>
    </w:sdt>
    <w:p w:rsidR="00DF7ED8" w:rsidRDefault="00DF7ED8">
      <w:pPr>
        <w:rPr>
          <w:rFonts w:ascii="Bozar AM" w:hAnsi="Bozar AM"/>
        </w:rPr>
      </w:pPr>
    </w:p>
    <w:p w:rsidR="00DF7ED8" w:rsidRDefault="00832153">
      <w:pPr>
        <w:pStyle w:val="Paragraphedeliste"/>
        <w:ind w:left="1440"/>
        <w:rPr>
          <w:rFonts w:ascii="Arial" w:hAnsi="Arial" w:cs="Arial"/>
          <w:sz w:val="22"/>
          <w:szCs w:val="22"/>
        </w:rPr>
      </w:pPr>
      <w:r>
        <w:rPr>
          <w:rFonts w:ascii="Arial" w:hAnsi="Arial" w:cs="Arial"/>
          <w:b/>
          <w:sz w:val="22"/>
          <w:szCs w:val="22"/>
          <w:highlight w:val="lightGray"/>
          <w:lang w:val="nl-BE"/>
        </w:rPr>
        <w:br w:type="page"/>
      </w:r>
    </w:p>
    <w:p w:rsidR="00DF7ED8" w:rsidRDefault="00832153">
      <w:pPr>
        <w:pStyle w:val="Titre1"/>
        <w:numPr>
          <w:ilvl w:val="0"/>
          <w:numId w:val="1"/>
        </w:numPr>
        <w:rPr>
          <w:rFonts w:asciiTheme="minorHAnsi" w:hAnsiTheme="minorHAnsi"/>
        </w:rPr>
      </w:pPr>
      <w:bookmarkStart w:id="1" w:name="_Toc494977001"/>
      <w:r>
        <w:rPr>
          <w:rFonts w:asciiTheme="minorHAnsi" w:hAnsiTheme="minorHAnsi"/>
        </w:rPr>
        <w:lastRenderedPageBreak/>
        <w:t>L’exposition</w:t>
      </w:r>
      <w:bookmarkEnd w:id="1"/>
    </w:p>
    <w:p w:rsidR="00DF7ED8" w:rsidRDefault="00DF7ED8">
      <w:pPr>
        <w:pStyle w:val="Sous-titre"/>
        <w:numPr>
          <w:ilvl w:val="0"/>
          <w:numId w:val="0"/>
        </w:numPr>
      </w:pPr>
    </w:p>
    <w:p w:rsidR="00DF7ED8" w:rsidRDefault="00832153">
      <w:pPr>
        <w:pStyle w:val="Titre2"/>
        <w:rPr>
          <w:rFonts w:asciiTheme="minorHAnsi" w:hAnsiTheme="minorHAnsi"/>
        </w:rPr>
      </w:pPr>
      <w:bookmarkStart w:id="2" w:name="_Toc494977002"/>
      <w:r>
        <w:rPr>
          <w:rFonts w:asciiTheme="minorHAnsi" w:hAnsiTheme="minorHAnsi"/>
        </w:rPr>
        <w:t>Introduction</w:t>
      </w:r>
      <w:bookmarkEnd w:id="2"/>
    </w:p>
    <w:p w:rsidR="00DF7ED8" w:rsidRDefault="00DF7ED8">
      <w:pPr>
        <w:pStyle w:val="Standard"/>
        <w:ind w:left="1440"/>
        <w:rPr>
          <w:rFonts w:asciiTheme="minorHAnsi" w:hAnsiTheme="minorHAnsi" w:cs="Arial"/>
          <w:sz w:val="22"/>
          <w:szCs w:val="22"/>
        </w:rPr>
      </w:pPr>
    </w:p>
    <w:p w:rsidR="00DF7ED8" w:rsidRDefault="00832153">
      <w:pPr>
        <w:pStyle w:val="Pa0"/>
        <w:jc w:val="both"/>
        <w:rPr>
          <w:rStyle w:val="A3"/>
          <w:rFonts w:asciiTheme="minorHAnsi" w:hAnsiTheme="minorHAnsi" w:cs="Arial"/>
          <w:sz w:val="22"/>
          <w:szCs w:val="22"/>
        </w:rPr>
      </w:pPr>
      <w:r>
        <w:rPr>
          <w:rStyle w:val="A3"/>
          <w:rFonts w:asciiTheme="minorHAnsi" w:hAnsiTheme="minorHAnsi" w:cs="Arial"/>
          <w:sz w:val="22"/>
          <w:szCs w:val="22"/>
        </w:rPr>
        <w:t xml:space="preserve">Jean Glibert (Bruxelles, 1938) a été formé à l’Institut supérieur des arts décoratifs de La Cambre. Dès la fin des années 1960, il </w:t>
      </w:r>
      <w:r>
        <w:rPr>
          <w:rStyle w:val="A3"/>
          <w:rFonts w:asciiTheme="minorHAnsi" w:hAnsiTheme="minorHAnsi" w:cs="Arial"/>
          <w:sz w:val="22"/>
          <w:szCs w:val="22"/>
        </w:rPr>
        <w:t>consacre la plus grande part de son activité à la participation de la couleur et de la lumière à l’architecture. Le programme de l’Atelier d’Espaces urbains et ruraux qu’il crée et dirige à La Cambre, de 1975 à 1995, est explicite des intentions de son app</w:t>
      </w:r>
      <w:r>
        <w:rPr>
          <w:rStyle w:val="A3"/>
          <w:rFonts w:asciiTheme="minorHAnsi" w:hAnsiTheme="minorHAnsi" w:cs="Arial"/>
          <w:sz w:val="22"/>
          <w:szCs w:val="22"/>
        </w:rPr>
        <w:t>roche :</w:t>
      </w:r>
    </w:p>
    <w:p w:rsidR="00DF7ED8" w:rsidRDefault="00DF7ED8">
      <w:pPr>
        <w:jc w:val="both"/>
        <w:rPr>
          <w:rFonts w:cs="Arial"/>
          <w:sz w:val="22"/>
          <w:szCs w:val="22"/>
        </w:rPr>
      </w:pPr>
    </w:p>
    <w:p w:rsidR="00DF7ED8" w:rsidRDefault="00832153">
      <w:pPr>
        <w:jc w:val="center"/>
        <w:rPr>
          <w:rFonts w:cs="Arial"/>
          <w:sz w:val="22"/>
          <w:szCs w:val="22"/>
        </w:rPr>
      </w:pPr>
      <w:r>
        <w:rPr>
          <w:rFonts w:cs="Arial"/>
          <w:sz w:val="22"/>
          <w:szCs w:val="22"/>
        </w:rPr>
        <w:t>« étudier, dans le domaine des rapports entre la construction, l’aménagement et l’environnement, les possibilités d’intervention dans la distribution de la lumière, de la couleur et de l’espace ».</w:t>
      </w:r>
    </w:p>
    <w:p w:rsidR="00DF7ED8" w:rsidRDefault="00DF7ED8">
      <w:pPr>
        <w:jc w:val="both"/>
        <w:rPr>
          <w:rFonts w:cs="Arial"/>
          <w:sz w:val="22"/>
          <w:szCs w:val="22"/>
        </w:rPr>
      </w:pPr>
    </w:p>
    <w:p w:rsidR="00DF7ED8" w:rsidRDefault="00832153">
      <w:pPr>
        <w:pStyle w:val="Pa0"/>
        <w:jc w:val="both"/>
        <w:rPr>
          <w:rStyle w:val="A3"/>
          <w:rFonts w:asciiTheme="minorHAnsi" w:hAnsiTheme="minorHAnsi" w:cs="Arial"/>
          <w:sz w:val="22"/>
          <w:szCs w:val="22"/>
        </w:rPr>
      </w:pPr>
      <w:r>
        <w:rPr>
          <w:rStyle w:val="A3"/>
          <w:rFonts w:asciiTheme="minorHAnsi" w:hAnsiTheme="minorHAnsi" w:cs="Arial"/>
          <w:sz w:val="22"/>
          <w:szCs w:val="22"/>
        </w:rPr>
        <w:t>Jean Glibert s’est d’emblée attaché à des recherc</w:t>
      </w:r>
      <w:r>
        <w:rPr>
          <w:rStyle w:val="A3"/>
          <w:rFonts w:asciiTheme="minorHAnsi" w:hAnsiTheme="minorHAnsi" w:cs="Arial"/>
          <w:sz w:val="22"/>
          <w:szCs w:val="22"/>
        </w:rPr>
        <w:t>hes motivées par un moyen d’action sur des lieux réels. A ce titre, ses travaux participent aux mouvements, qui, voici un demi-siècle, ont agité le monde de l’art au travers d’une profonde remise en question de son objet même. C’est en Belgique le temps du</w:t>
      </w:r>
      <w:r>
        <w:rPr>
          <w:rStyle w:val="A3"/>
          <w:rFonts w:asciiTheme="minorHAnsi" w:hAnsiTheme="minorHAnsi" w:cs="Arial"/>
          <w:sz w:val="22"/>
          <w:szCs w:val="22"/>
        </w:rPr>
        <w:t xml:space="preserve"> développement de démarches plus conceptuelles, plus sociologiques et, en tout cas, plus contextuelles. Il y a des réflexions sur le décloisonnement des disciplines, sur la libération des techniques et des remises en question du travail des plasticiens. Je</w:t>
      </w:r>
      <w:r>
        <w:rPr>
          <w:rStyle w:val="A3"/>
          <w:rFonts w:asciiTheme="minorHAnsi" w:hAnsiTheme="minorHAnsi" w:cs="Arial"/>
          <w:sz w:val="22"/>
          <w:szCs w:val="22"/>
        </w:rPr>
        <w:t xml:space="preserve">an Glibert, comme d’autres, s’intéresse de manière directe à des possibilités d’expression hors des institutions spécifiquement dédiées à l’exposition de l’art. </w:t>
      </w:r>
    </w:p>
    <w:p w:rsidR="00DF7ED8" w:rsidRDefault="00DF7ED8">
      <w:pPr>
        <w:pStyle w:val="Pa0"/>
        <w:jc w:val="both"/>
        <w:rPr>
          <w:rStyle w:val="A3"/>
          <w:rFonts w:asciiTheme="minorHAnsi" w:hAnsiTheme="minorHAnsi" w:cs="Arial"/>
          <w:sz w:val="22"/>
          <w:szCs w:val="22"/>
        </w:rPr>
      </w:pPr>
    </w:p>
    <w:p w:rsidR="00DF7ED8" w:rsidRDefault="00832153">
      <w:pPr>
        <w:jc w:val="both"/>
        <w:rPr>
          <w:rFonts w:cs="Arial"/>
          <w:sz w:val="22"/>
          <w:szCs w:val="22"/>
        </w:rPr>
      </w:pPr>
      <w:r>
        <w:rPr>
          <w:rFonts w:cs="Arial"/>
          <w:i/>
          <w:sz w:val="22"/>
          <w:szCs w:val="22"/>
        </w:rPr>
        <w:t>Jean Glibert. Peintre en bâtiment</w:t>
      </w:r>
      <w:r>
        <w:rPr>
          <w:rFonts w:cs="Arial"/>
          <w:sz w:val="22"/>
          <w:szCs w:val="22"/>
        </w:rPr>
        <w:t xml:space="preserve"> résulte en partie d’une opération d’inventaire et d’archiva</w:t>
      </w:r>
      <w:r>
        <w:rPr>
          <w:rFonts w:cs="Arial"/>
          <w:sz w:val="22"/>
          <w:szCs w:val="22"/>
        </w:rPr>
        <w:t>ge menée avec le soutien de la Fédération Wallonie-Bruxelles. Un des objectifs prioritaires est d’offrir de la visibilité à une œuvre trop méconnue bien que présente dans de très nombreux espaces publics en Belgique. Il s’agit aussi de fournir des outils d</w:t>
      </w:r>
      <w:r>
        <w:rPr>
          <w:rFonts w:cs="Arial"/>
          <w:sz w:val="22"/>
          <w:szCs w:val="22"/>
        </w:rPr>
        <w:t>e compréhension simples et accessibles. Dans cet ordre d’idées, l’exposition, qui a été présentée du 27 octobre 2017 au 7 janvier 2018 au Palais des Beaux-Arts de Bruxelles (Bozar), était axée sur l’univers de création de Jean Glibert et sur le sens de ses</w:t>
      </w:r>
      <w:r>
        <w:rPr>
          <w:rFonts w:cs="Arial"/>
          <w:sz w:val="22"/>
          <w:szCs w:val="22"/>
        </w:rPr>
        <w:t xml:space="preserve"> études. Il n’y a aucune tentative d’exhaustivité, pas de perspectives historiques. La volonté des commissaires est d’englober dans une même vision les projets d’intégration à l’architecture ou à l’urbanisme, les données méthodologiques, les modèles expéri</w:t>
      </w:r>
      <w:r>
        <w:rPr>
          <w:rFonts w:cs="Arial"/>
          <w:sz w:val="22"/>
          <w:szCs w:val="22"/>
        </w:rPr>
        <w:t>mentaux autonomes.</w:t>
      </w:r>
    </w:p>
    <w:p w:rsidR="00DF7ED8" w:rsidRDefault="00DF7ED8">
      <w:pPr>
        <w:jc w:val="both"/>
        <w:rPr>
          <w:rFonts w:cs="Arial"/>
          <w:sz w:val="22"/>
          <w:szCs w:val="22"/>
        </w:rPr>
      </w:pPr>
    </w:p>
    <w:p w:rsidR="00DF7ED8" w:rsidRDefault="00DF7ED8">
      <w:pPr>
        <w:jc w:val="both"/>
        <w:rPr>
          <w:rFonts w:cs="Arial"/>
          <w:sz w:val="22"/>
          <w:szCs w:val="22"/>
        </w:rPr>
      </w:pPr>
    </w:p>
    <w:p w:rsidR="00DF7ED8" w:rsidRDefault="00DF7ED8">
      <w:pPr>
        <w:jc w:val="center"/>
        <w:rPr>
          <w:rFonts w:cs="Arial"/>
          <w:sz w:val="22"/>
          <w:szCs w:val="22"/>
        </w:rPr>
      </w:pPr>
    </w:p>
    <w:p w:rsidR="00DF7ED8" w:rsidRDefault="00832153">
      <w:pPr>
        <w:jc w:val="both"/>
        <w:rPr>
          <w:rFonts w:cs="Arial"/>
          <w:sz w:val="22"/>
          <w:szCs w:val="22"/>
        </w:rPr>
      </w:pPr>
      <w:r>
        <w:rPr>
          <w:noProof/>
          <w:lang w:val="fr-BE" w:eastAsia="fr-BE"/>
        </w:rPr>
        <mc:AlternateContent>
          <mc:Choice Requires="wps">
            <w:drawing>
              <wp:anchor distT="0" distB="0" distL="114300" distR="114300" simplePos="0" relativeHeight="251661312" behindDoc="0" locked="0" layoutInCell="1" allowOverlap="1">
                <wp:simplePos x="0" y="0"/>
                <wp:positionH relativeFrom="column">
                  <wp:posOffset>-499745</wp:posOffset>
                </wp:positionH>
                <wp:positionV relativeFrom="paragraph">
                  <wp:posOffset>22636480</wp:posOffset>
                </wp:positionV>
                <wp:extent cx="3124200" cy="14097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124200" cy="140970"/>
                        </a:xfrm>
                        <a:prstGeom prst="rect">
                          <a:avLst/>
                        </a:prstGeom>
                        <a:solidFill>
                          <a:prstClr val="white"/>
                        </a:solidFill>
                        <a:ln>
                          <a:noFill/>
                        </a:ln>
                        <a:effectLst/>
                      </wps:spPr>
                      <wps:txbx>
                        <w:txbxContent>
                          <w:p w:rsidR="00DF7ED8" w:rsidRDefault="00832153">
                            <w:pPr>
                              <w:pStyle w:val="Lgende"/>
                              <w:rPr>
                                <w:rFonts w:cs="Arial"/>
                                <w:b/>
                                <w:noProof/>
                                <w:color w:val="808080" w:themeColor="background1" w:themeShade="80"/>
                                <w:sz w:val="20"/>
                                <w:szCs w:val="20"/>
                                <w:lang w:val="en-US"/>
                              </w:rPr>
                            </w:pPr>
                            <w:r>
                              <w:rPr>
                                <w:color w:val="808080" w:themeColor="background1" w:themeShade="80"/>
                                <w:sz w:val="20"/>
                                <w:szCs w:val="20"/>
                                <w:lang w:val="en-US"/>
                              </w:rPr>
                              <w:t>Youssef El Toufali © Photo Yannick Sas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5="http://schemas.microsoft.com/office/word/2012/wordml">
            <w:pict>
              <v:shapetype id="_x0000_t202" coordsize="21600,21600" o:spt="202" path="m,l,21600r21600,l21600,xe">
                <v:stroke joinstyle="miter"/>
                <v:path gradientshapeok="t" o:connecttype="rect"/>
              </v:shapetype>
              <v:shape id="Text Box 43" o:spid="_x0000_s1026" type="#_x0000_t202" style="position:absolute;left:0;text-align:left;margin-left:-39.35pt;margin-top:1782.4pt;width:246pt;height:11.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" stroked="f">
                <v:textbox style="mso-fit-shape-to-text:t" inset="0,0,0,0">
                  <w:txbxContent>
                    <w:p>
                      <w:pPr>
                        <w:pStyle w:val="Lgende"/>
                        <w:rPr>
                          <w:rFonts w:cs="Arial"/>
                          <w:b/>
                          <w:noProof/>
                          <w:color w:val="808080" w:themeColor="background1" w:themeShade="80"/>
                          <w:sz w:val="20"/>
                          <w:szCs w:val="20"/>
                          <w:lang w:val="en-US"/>
                        </w:rPr>
                      </w:pPr>
                      <w:r>
                        <w:rPr>
                          <w:color w:val="808080" w:themeColor="background1" w:themeShade="80"/>
                          <w:sz w:val="20"/>
                          <w:szCs w:val="20"/>
                          <w:lang w:val="en-US"/>
                        </w:rPr>
                        <w:t xml:space="preserve">Youssef El </w:t>
                      </w:r>
                      <w:proofErr w:type="spellStart"/>
                      <w:r>
                        <w:rPr>
                          <w:color w:val="808080" w:themeColor="background1" w:themeShade="80"/>
                          <w:sz w:val="20"/>
                          <w:szCs w:val="20"/>
                          <w:lang w:val="en-US"/>
                        </w:rPr>
                        <w:t>Toufali</w:t>
                      </w:r>
                      <w:proofErr w:type="spellEnd"/>
                      <w:r>
                        <w:rPr>
                          <w:color w:val="808080" w:themeColor="background1" w:themeShade="80"/>
                          <w:sz w:val="20"/>
                          <w:szCs w:val="20"/>
                          <w:lang w:val="en-US"/>
                        </w:rPr>
                        <w:t xml:space="preserve"> © Photo Yannick </w:t>
                      </w:r>
                      <w:proofErr w:type="spellStart"/>
                      <w:r>
                        <w:rPr>
                          <w:color w:val="808080" w:themeColor="background1" w:themeShade="80"/>
                          <w:sz w:val="20"/>
                          <w:szCs w:val="20"/>
                          <w:lang w:val="en-US"/>
                        </w:rPr>
                        <w:t>Sas</w:t>
                      </w:r>
                      <w:proofErr w:type="spellEnd"/>
                    </w:p>
                  </w:txbxContent>
                </v:textbox>
              </v:shape>
            </w:pict>
          </mc:Fallback>
        </mc:AlternateContent>
      </w:r>
      <w:r>
        <w:rPr>
          <w:rFonts w:cs="Arial"/>
          <w:b/>
          <w:sz w:val="22"/>
          <w:szCs w:val="22"/>
        </w:rPr>
        <w:t>Concept et commissaires de l’exposition à Bozar</w:t>
      </w:r>
      <w:r>
        <w:rPr>
          <w:rFonts w:cs="Arial"/>
          <w:sz w:val="22"/>
          <w:szCs w:val="22"/>
        </w:rPr>
        <w:t>: Michel De Visscher, Emmanuel De Meulemeester, Laurent Jacob et Jean Glibert.</w:t>
      </w:r>
    </w:p>
    <w:p w:rsidR="00DF7ED8" w:rsidRDefault="00DF7ED8">
      <w:pPr>
        <w:jc w:val="both"/>
        <w:rPr>
          <w:rFonts w:cs="Arial"/>
          <w:sz w:val="22"/>
          <w:szCs w:val="22"/>
        </w:rPr>
      </w:pPr>
    </w:p>
    <w:p w:rsidR="00DF7ED8" w:rsidRDefault="00832153">
      <w:pPr>
        <w:jc w:val="both"/>
        <w:rPr>
          <w:rFonts w:cs="Arial"/>
          <w:sz w:val="22"/>
          <w:szCs w:val="22"/>
        </w:rPr>
      </w:pPr>
      <w:r>
        <w:rPr>
          <w:rFonts w:cs="Arial"/>
          <w:b/>
          <w:sz w:val="22"/>
          <w:szCs w:val="22"/>
        </w:rPr>
        <w:t>Adaptation de l’exposition aux futurs lieux de monstration</w:t>
      </w:r>
      <w:r>
        <w:rPr>
          <w:rFonts w:cs="Arial"/>
          <w:sz w:val="22"/>
          <w:szCs w:val="22"/>
        </w:rPr>
        <w:t xml:space="preserve"> : Mich</w:t>
      </w:r>
      <w:r>
        <w:rPr>
          <w:rFonts w:cs="Arial"/>
          <w:sz w:val="22"/>
          <w:szCs w:val="22"/>
        </w:rPr>
        <w:t>el De Visscher et Jean Glibert</w:t>
      </w:r>
    </w:p>
    <w:p w:rsidR="00DF7ED8" w:rsidRDefault="00DF7ED8">
      <w:pPr>
        <w:jc w:val="both"/>
        <w:rPr>
          <w:rFonts w:cs="Arial"/>
          <w:sz w:val="22"/>
          <w:szCs w:val="22"/>
        </w:rPr>
      </w:pPr>
    </w:p>
    <w:p w:rsidR="00DF7ED8" w:rsidRDefault="00832153">
      <w:pPr>
        <w:jc w:val="both"/>
        <w:rPr>
          <w:rFonts w:cs="Arial"/>
          <w:b/>
          <w:sz w:val="22"/>
          <w:szCs w:val="22"/>
        </w:rPr>
      </w:pPr>
      <w:r>
        <w:rPr>
          <w:rFonts w:cs="Arial"/>
          <w:sz w:val="22"/>
          <w:szCs w:val="22"/>
        </w:rPr>
        <w:t>L’exposition est une initiative d’Alda Greoli, Vice-Présidente, Ministre de la Culture, de l’Enfance et de l’Education permanente, produit par la Fédération Wallonie-Bruxelles (Direction des Arts plastiques contemporains - C</w:t>
      </w:r>
      <w:r>
        <w:rPr>
          <w:rFonts w:cs="Arial"/>
          <w:sz w:val="22"/>
          <w:szCs w:val="22"/>
        </w:rPr>
        <w:t>ellule architecture), en partenariat avec BOZAR et avec le soutien de Wallonie Bruxelles International.</w:t>
      </w:r>
      <w:r>
        <w:rPr>
          <w:rFonts w:cs="Arial"/>
          <w:b/>
          <w:sz w:val="22"/>
          <w:szCs w:val="22"/>
        </w:rPr>
        <w:br w:type="page"/>
      </w:r>
    </w:p>
    <w:p w:rsidR="00DF7ED8" w:rsidRDefault="00832153">
      <w:pPr>
        <w:pStyle w:val="Titre2"/>
        <w:rPr>
          <w:rFonts w:asciiTheme="minorHAnsi" w:hAnsiTheme="minorHAnsi"/>
        </w:rPr>
      </w:pPr>
      <w:bookmarkStart w:id="3" w:name="_Toc494977003"/>
      <w:r>
        <w:rPr>
          <w:rFonts w:asciiTheme="minorHAnsi" w:hAnsiTheme="minorHAnsi"/>
        </w:rPr>
        <w:lastRenderedPageBreak/>
        <w:t>Architecture</w:t>
      </w:r>
      <w:bookmarkEnd w:id="3"/>
    </w:p>
    <w:p w:rsidR="00DF7ED8" w:rsidRDefault="00DF7ED8">
      <w:pPr>
        <w:jc w:val="both"/>
        <w:rPr>
          <w:rFonts w:cs="Arial"/>
          <w:b/>
          <w:sz w:val="22"/>
          <w:szCs w:val="22"/>
        </w:rPr>
      </w:pPr>
    </w:p>
    <w:p w:rsidR="00DF7ED8" w:rsidRDefault="00832153">
      <w:pPr>
        <w:jc w:val="both"/>
        <w:rPr>
          <w:rFonts w:cs="Arial"/>
          <w:sz w:val="22"/>
          <w:szCs w:val="22"/>
        </w:rPr>
      </w:pPr>
      <w:r>
        <w:rPr>
          <w:rFonts w:cs="Arial"/>
          <w:sz w:val="22"/>
          <w:szCs w:val="22"/>
        </w:rPr>
        <w:t xml:space="preserve">Pour bien comprendre le travail de Jean Glibert, il faut considérer sa volonté de se mettre à la disposition des lieux pour lesquels il </w:t>
      </w:r>
      <w:r>
        <w:rPr>
          <w:rFonts w:cs="Arial"/>
          <w:sz w:val="22"/>
          <w:szCs w:val="22"/>
        </w:rPr>
        <w:t>conçoit ses travaux d’intégration.</w:t>
      </w:r>
    </w:p>
    <w:p w:rsidR="00DF7ED8" w:rsidRDefault="00DF7ED8">
      <w:pPr>
        <w:jc w:val="both"/>
        <w:rPr>
          <w:rFonts w:cs="Arial"/>
          <w:sz w:val="22"/>
          <w:szCs w:val="22"/>
        </w:rPr>
      </w:pPr>
    </w:p>
    <w:p w:rsidR="00DF7ED8" w:rsidRDefault="00832153">
      <w:pPr>
        <w:jc w:val="both"/>
        <w:rPr>
          <w:rFonts w:cs="Arial"/>
          <w:sz w:val="22"/>
          <w:szCs w:val="22"/>
        </w:rPr>
      </w:pPr>
      <w:r>
        <w:rPr>
          <w:rFonts w:cs="Arial"/>
          <w:sz w:val="22"/>
          <w:szCs w:val="22"/>
        </w:rPr>
        <w:t>Cette résolution a des incidences directes. La plus immédiate est de placer son travail dans une logique de production propre à l'architecte. Depuis la méthode de mise au point et de présentation des projets qui repose s</w:t>
      </w:r>
      <w:r>
        <w:rPr>
          <w:rFonts w:cs="Arial"/>
          <w:sz w:val="22"/>
          <w:szCs w:val="22"/>
        </w:rPr>
        <w:t>ur des plans et des maquettes jusqu'à leur exécution par des ouvriers du bâtiment, son métier en revêt les caractéristiques majeures. Il appelle ainsi le concours d'une équipe. Et, la réussite d’une pièce est conditionnée tant par l'intelligence que Gliber</w:t>
      </w:r>
      <w:r>
        <w:rPr>
          <w:rFonts w:cs="Arial"/>
          <w:sz w:val="22"/>
          <w:szCs w:val="22"/>
        </w:rPr>
        <w:t>t a du savoir-faire des différents intervenants (ingénieur, paysagiste, urbaniste, designer …) que par sa capacité à leur faire justement comprendre ses intentions.</w:t>
      </w:r>
    </w:p>
    <w:p w:rsidR="00DF7ED8" w:rsidRDefault="00DF7ED8">
      <w:pPr>
        <w:jc w:val="both"/>
        <w:rPr>
          <w:rFonts w:cs="Arial"/>
          <w:sz w:val="22"/>
          <w:szCs w:val="22"/>
        </w:rPr>
      </w:pPr>
    </w:p>
    <w:p w:rsidR="00DF7ED8" w:rsidRDefault="00832153">
      <w:pPr>
        <w:jc w:val="both"/>
        <w:rPr>
          <w:rFonts w:cs="Arial"/>
          <w:sz w:val="22"/>
          <w:szCs w:val="22"/>
        </w:rPr>
      </w:pPr>
      <w:r>
        <w:rPr>
          <w:rFonts w:cs="Arial"/>
          <w:sz w:val="22"/>
          <w:szCs w:val="22"/>
        </w:rPr>
        <w:t>Dans le même ordre d’idées, il faut relever la lisibilité de la dialectique entre les proj</w:t>
      </w:r>
      <w:r>
        <w:rPr>
          <w:rFonts w:cs="Arial"/>
          <w:sz w:val="22"/>
          <w:szCs w:val="22"/>
        </w:rPr>
        <w:t xml:space="preserve">ets et les conditions de leur mise en œuvre. Elle constitue même un moment clé du processus créateur. La forme du site en place ou à construire, les impératifs du chantier et le contexte budgétaire s'imposent comme des sources d'informations primordiales. </w:t>
      </w:r>
      <w:r>
        <w:rPr>
          <w:rFonts w:cs="Arial"/>
          <w:sz w:val="22"/>
          <w:szCs w:val="22"/>
        </w:rPr>
        <w:t>En outre, les sites ne sont jamais traités hors de leur réalité fonctionnelle. Les recherches répondent à des demandes, à des attentes formulées ou non.</w:t>
      </w:r>
    </w:p>
    <w:p w:rsidR="00DF7ED8" w:rsidRDefault="00DF7ED8">
      <w:pPr>
        <w:jc w:val="both"/>
        <w:rPr>
          <w:rFonts w:cs="Arial"/>
          <w:sz w:val="22"/>
          <w:szCs w:val="22"/>
        </w:rPr>
      </w:pPr>
    </w:p>
    <w:p w:rsidR="00DF7ED8" w:rsidRDefault="00832153">
      <w:pPr>
        <w:jc w:val="both"/>
        <w:rPr>
          <w:rFonts w:cs="Arial"/>
          <w:sz w:val="22"/>
          <w:szCs w:val="22"/>
        </w:rPr>
      </w:pPr>
      <w:r>
        <w:rPr>
          <w:rFonts w:cs="Arial"/>
          <w:sz w:val="22"/>
          <w:szCs w:val="22"/>
        </w:rPr>
        <w:t xml:space="preserve">Le parallèle va au-delà de la méthodologie : il se prolonge sur le terrain de la signification des </w:t>
      </w:r>
      <w:r>
        <w:rPr>
          <w:rFonts w:cs="Arial"/>
          <w:sz w:val="22"/>
          <w:szCs w:val="22"/>
        </w:rPr>
        <w:t>œuvres. Glibert intervient sur l'image constructive de l'environnement. Ses travaux mettent en scène des tractions, poussées, pressions … La couleur n'est pas conçue que comme un revêtement ; la lumière n'est pas conçue que comme un éclairage : l'une et l'</w:t>
      </w:r>
      <w:r>
        <w:rPr>
          <w:rFonts w:cs="Arial"/>
          <w:sz w:val="22"/>
          <w:szCs w:val="22"/>
        </w:rPr>
        <w:t>autre ont toujours des valeurs architectoniques et/ou un rôle dans l'organisation de l'espace.</w:t>
      </w:r>
    </w:p>
    <w:p w:rsidR="00DF7ED8" w:rsidRDefault="00DF7ED8">
      <w:pPr>
        <w:jc w:val="both"/>
        <w:rPr>
          <w:rFonts w:cs="Arial"/>
          <w:sz w:val="22"/>
          <w:szCs w:val="22"/>
        </w:rPr>
      </w:pPr>
    </w:p>
    <w:p w:rsidR="00DF7ED8" w:rsidRDefault="00DF7ED8">
      <w:pPr>
        <w:jc w:val="both"/>
        <w:rPr>
          <w:rFonts w:cs="Arial"/>
          <w:sz w:val="22"/>
          <w:szCs w:val="22"/>
        </w:rPr>
      </w:pPr>
    </w:p>
    <w:p w:rsidR="00DF7ED8" w:rsidRDefault="00832153">
      <w:pPr>
        <w:jc w:val="center"/>
        <w:rPr>
          <w:rFonts w:cs="Arial"/>
          <w:sz w:val="22"/>
          <w:szCs w:val="22"/>
        </w:rPr>
      </w:pPr>
      <w:r>
        <w:rPr>
          <w:rFonts w:cs="Arial"/>
          <w:noProof/>
          <w:sz w:val="22"/>
          <w:szCs w:val="22"/>
          <w:lang w:val="fr-BE" w:eastAsia="fr-BE"/>
        </w:rPr>
        <w:drawing>
          <wp:inline distT="0" distB="0" distL="0" distR="0">
            <wp:extent cx="2857500" cy="2827774"/>
            <wp:effectExtent l="0" t="0" r="0" b="0"/>
            <wp:docPr id="3" name="Image 3" descr="Macintosh HD:Users:laurentjacob:Downloads:Centre MaisinC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aurentjacob:Downloads:Centre MaisinC_.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60022" cy="2830270"/>
                    </a:xfrm>
                    <a:prstGeom prst="rect">
                      <a:avLst/>
                    </a:prstGeom>
                    <a:noFill/>
                    <a:ln>
                      <a:noFill/>
                    </a:ln>
                  </pic:spPr>
                </pic:pic>
              </a:graphicData>
            </a:graphic>
          </wp:inline>
        </w:drawing>
      </w:r>
    </w:p>
    <w:p w:rsidR="00DF7ED8" w:rsidRDefault="00832153">
      <w:pPr>
        <w:jc w:val="both"/>
        <w:rPr>
          <w:rFonts w:cs="Arial"/>
          <w:b/>
          <w:color w:val="FF0000"/>
          <w:sz w:val="22"/>
          <w:szCs w:val="22"/>
        </w:rPr>
      </w:pPr>
      <w:r>
        <w:rPr>
          <w:noProof/>
          <w:lang w:val="fr-BE" w:eastAsia="fr-BE"/>
        </w:rPr>
        <mc:AlternateContent>
          <mc:Choice Requires="wps">
            <w:drawing>
              <wp:anchor distT="0" distB="0" distL="114300" distR="114300" simplePos="0" relativeHeight="251665408" behindDoc="0" locked="0" layoutInCell="1" allowOverlap="1">
                <wp:simplePos x="0" y="0"/>
                <wp:positionH relativeFrom="margin">
                  <wp:posOffset>1370965</wp:posOffset>
                </wp:positionH>
                <wp:positionV relativeFrom="paragraph">
                  <wp:posOffset>5080</wp:posOffset>
                </wp:positionV>
                <wp:extent cx="2971800" cy="40386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2971800" cy="403860"/>
                        </a:xfrm>
                        <a:prstGeom prst="rect">
                          <a:avLst/>
                        </a:prstGeom>
                        <a:solidFill>
                          <a:prstClr val="white"/>
                        </a:solidFill>
                        <a:ln>
                          <a:noFill/>
                        </a:ln>
                        <a:effectLst/>
                      </wps:spPr>
                      <wps:txbx>
                        <w:txbxContent>
                          <w:p w:rsidR="00DF7ED8" w:rsidRDefault="00832153">
                            <w:pPr>
                              <w:jc w:val="both"/>
                              <w:rPr>
                                <w:rFonts w:ascii="Bozar AM" w:hAnsi="Bozar AM" w:cs="Arial"/>
                                <w:color w:val="808080" w:themeColor="background1" w:themeShade="80"/>
                                <w:sz w:val="18"/>
                                <w:szCs w:val="18"/>
                              </w:rPr>
                            </w:pPr>
                            <w:r>
                              <w:rPr>
                                <w:rFonts w:ascii="Bozar AM" w:hAnsi="Bozar AM" w:cs="Arial"/>
                                <w:color w:val="808080" w:themeColor="background1" w:themeShade="80"/>
                                <w:sz w:val="18"/>
                                <w:szCs w:val="18"/>
                              </w:rPr>
                              <w:t>Centre interdiocésain Maisin, Bruxelles. architectesassoc. (M. Desmedt, M. Lacour, S. Leribaux) / Jean Glibert</w:t>
                            </w:r>
                          </w:p>
                          <w:p w:rsidR="00DF7ED8" w:rsidRDefault="00DF7ED8">
                            <w:pPr>
                              <w:pStyle w:val="Lgende"/>
                              <w:rPr>
                                <w:rFonts w:cs="Arial"/>
                                <w:b/>
                                <w:noProof/>
                                <w:color w:val="AEAAAA" w:themeColor="background2" w:themeShade="BF"/>
                                <w:sz w:val="20"/>
                                <w:szCs w:val="20"/>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5" o:spid="_x0000_s1027" type="#_x0000_t202" style="position:absolute;left:0;text-align:left;margin-left:107.95pt;margin-top:.4pt;width:234pt;height:31.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" stroked="f">
                <v:textbox inset="0,0,0,0">
                  <w:txbxContent>
                    <w:p>
                      <w:pPr>
                        <w:jc w:val="both"/>
                        <w:rPr>
                          <w:rFonts w:ascii="Bozar AM" w:hAnsi="Bozar AM" w:cs="Arial"/>
                          <w:color w:val="808080" w:themeColor="background1" w:themeShade="80"/>
                          <w:sz w:val="18"/>
                          <w:szCs w:val="18"/>
                        </w:rPr>
                      </w:pPr>
                      <w:r>
                        <w:rPr>
                          <w:rFonts w:ascii="Bozar AM" w:hAnsi="Bozar AM" w:cs="Arial"/>
                          <w:color w:val="808080" w:themeColor="background1" w:themeShade="80"/>
                          <w:sz w:val="18"/>
                          <w:szCs w:val="18"/>
                        </w:rPr>
                        <w:t xml:space="preserve">Centre interdiocésain </w:t>
                      </w:r>
                      <w:proofErr w:type="spellStart"/>
                      <w:r>
                        <w:rPr>
                          <w:rFonts w:ascii="Bozar AM" w:hAnsi="Bozar AM" w:cs="Arial"/>
                          <w:color w:val="808080" w:themeColor="background1" w:themeShade="80"/>
                          <w:sz w:val="18"/>
                          <w:szCs w:val="18"/>
                        </w:rPr>
                        <w:t>Maisin</w:t>
                      </w:r>
                      <w:proofErr w:type="spellEnd"/>
                      <w:r>
                        <w:rPr>
                          <w:rFonts w:ascii="Bozar AM" w:hAnsi="Bozar AM" w:cs="Arial"/>
                          <w:color w:val="808080" w:themeColor="background1" w:themeShade="80"/>
                          <w:sz w:val="18"/>
                          <w:szCs w:val="18"/>
                        </w:rPr>
                        <w:t xml:space="preserve">, Bruxelles. </w:t>
                      </w:r>
                      <w:proofErr w:type="spellStart"/>
                      <w:proofErr w:type="gramStart"/>
                      <w:r>
                        <w:rPr>
                          <w:rFonts w:ascii="Bozar AM" w:hAnsi="Bozar AM" w:cs="Arial"/>
                          <w:color w:val="808080" w:themeColor="background1" w:themeShade="80"/>
                          <w:sz w:val="18"/>
                          <w:szCs w:val="18"/>
                        </w:rPr>
                        <w:t>architectesassoc</w:t>
                      </w:r>
                      <w:proofErr w:type="spellEnd"/>
                      <w:proofErr w:type="gramEnd"/>
                      <w:r>
                        <w:rPr>
                          <w:rFonts w:ascii="Bozar AM" w:hAnsi="Bozar AM" w:cs="Arial"/>
                          <w:color w:val="808080" w:themeColor="background1" w:themeShade="80"/>
                          <w:sz w:val="18"/>
                          <w:szCs w:val="18"/>
                        </w:rPr>
                        <w:t xml:space="preserve">. (M. </w:t>
                      </w:r>
                      <w:proofErr w:type="spellStart"/>
                      <w:r>
                        <w:rPr>
                          <w:rFonts w:ascii="Bozar AM" w:hAnsi="Bozar AM" w:cs="Arial"/>
                          <w:color w:val="808080" w:themeColor="background1" w:themeShade="80"/>
                          <w:sz w:val="18"/>
                          <w:szCs w:val="18"/>
                        </w:rPr>
                        <w:t>Desmedt</w:t>
                      </w:r>
                      <w:proofErr w:type="spellEnd"/>
                      <w:r>
                        <w:rPr>
                          <w:rFonts w:ascii="Bozar AM" w:hAnsi="Bozar AM" w:cs="Arial"/>
                          <w:color w:val="808080" w:themeColor="background1" w:themeShade="80"/>
                          <w:sz w:val="18"/>
                          <w:szCs w:val="18"/>
                        </w:rPr>
                        <w:t xml:space="preserve">, M. Lacour, S. </w:t>
                      </w:r>
                      <w:proofErr w:type="spellStart"/>
                      <w:r>
                        <w:rPr>
                          <w:rFonts w:ascii="Bozar AM" w:hAnsi="Bozar AM" w:cs="Arial"/>
                          <w:color w:val="808080" w:themeColor="background1" w:themeShade="80"/>
                          <w:sz w:val="18"/>
                          <w:szCs w:val="18"/>
                        </w:rPr>
                        <w:t>Leribaux</w:t>
                      </w:r>
                      <w:proofErr w:type="spellEnd"/>
                      <w:r>
                        <w:rPr>
                          <w:rFonts w:ascii="Bozar AM" w:hAnsi="Bozar AM" w:cs="Arial"/>
                          <w:color w:val="808080" w:themeColor="background1" w:themeShade="80"/>
                          <w:sz w:val="18"/>
                          <w:szCs w:val="18"/>
                        </w:rPr>
                        <w:t>) / Jean Glibert</w:t>
                      </w:r>
                    </w:p>
                    <w:p>
                      <w:pPr>
                        <w:pStyle w:val="Lgende"/>
                        <w:rPr>
                          <w:rFonts w:cs="Arial"/>
                          <w:b/>
                          <w:noProof/>
                          <w:color w:val="AEAAAA" w:themeColor="background2" w:themeShade="BF"/>
                          <w:sz w:val="20"/>
                          <w:szCs w:val="20"/>
                          <w:lang w:val="fr-FR"/>
                        </w:rPr>
                      </w:pPr>
                    </w:p>
                  </w:txbxContent>
                </v:textbox>
                <w10:wrap anchorx="margin"/>
              </v:shape>
            </w:pict>
          </mc:Fallback>
        </mc:AlternateContent>
      </w:r>
    </w:p>
    <w:p w:rsidR="00DF7ED8" w:rsidRDefault="00832153">
      <w:pPr>
        <w:spacing w:after="160" w:line="259" w:lineRule="auto"/>
        <w:rPr>
          <w:rFonts w:cs="Arial"/>
          <w:b/>
          <w:sz w:val="22"/>
          <w:szCs w:val="22"/>
        </w:rPr>
      </w:pPr>
      <w:r>
        <w:rPr>
          <w:rFonts w:cs="Arial"/>
          <w:b/>
          <w:sz w:val="22"/>
          <w:szCs w:val="22"/>
        </w:rPr>
        <w:br w:type="page"/>
      </w:r>
    </w:p>
    <w:p w:rsidR="00DF7ED8" w:rsidRDefault="00832153">
      <w:pPr>
        <w:pStyle w:val="Titre2"/>
        <w:rPr>
          <w:rFonts w:asciiTheme="minorHAnsi" w:hAnsiTheme="minorHAnsi"/>
        </w:rPr>
      </w:pPr>
      <w:bookmarkStart w:id="4" w:name="_Toc494977004"/>
      <w:r>
        <w:rPr>
          <w:rFonts w:asciiTheme="minorHAnsi" w:hAnsiTheme="minorHAnsi"/>
        </w:rPr>
        <w:lastRenderedPageBreak/>
        <w:t>Collectes</w:t>
      </w:r>
      <w:bookmarkEnd w:id="4"/>
    </w:p>
    <w:p w:rsidR="00DF7ED8" w:rsidRDefault="00DF7ED8">
      <w:pPr>
        <w:jc w:val="both"/>
        <w:rPr>
          <w:rFonts w:cs="Arial"/>
          <w:b/>
          <w:sz w:val="22"/>
          <w:szCs w:val="22"/>
        </w:rPr>
      </w:pPr>
    </w:p>
    <w:p w:rsidR="00DF7ED8" w:rsidRDefault="00832153">
      <w:pPr>
        <w:jc w:val="both"/>
        <w:rPr>
          <w:rFonts w:cs="Arial"/>
          <w:sz w:val="22"/>
          <w:szCs w:val="22"/>
        </w:rPr>
      </w:pPr>
      <w:r>
        <w:rPr>
          <w:rFonts w:cs="Arial"/>
          <w:sz w:val="22"/>
          <w:szCs w:val="22"/>
        </w:rPr>
        <w:t>Les méthodologies de Jean Gl</w:t>
      </w:r>
      <w:r>
        <w:rPr>
          <w:rFonts w:cs="Arial"/>
          <w:sz w:val="22"/>
          <w:szCs w:val="22"/>
        </w:rPr>
        <w:t>ibert comprennent une activité de collecte d’objets. Pour Francis Mary, collectionneur et éditeur, cette déambulation constante de glaneur, attentif parfois jusqu’à l’obsession, vise à contenir le débordement des bribes du monde. Dans cette prolifération d</w:t>
      </w:r>
      <w:r>
        <w:rPr>
          <w:rFonts w:cs="Arial"/>
          <w:sz w:val="22"/>
          <w:szCs w:val="22"/>
        </w:rPr>
        <w:t>e matières denses, vastes et hétérogènes, Glibert travaille à définir des ordres, des rapports, des lignes de force. Des ensembles se constituent et constituent un réservoir inépuisable où puiser des références. L’activité classificatoire aurait par ailleu</w:t>
      </w:r>
      <w:r>
        <w:rPr>
          <w:rFonts w:cs="Arial"/>
          <w:sz w:val="22"/>
          <w:szCs w:val="22"/>
        </w:rPr>
        <w:t>rs une valeur créative : celle de recycler le réel et de lui conférer un sens nouveau, essentiellement plastique.</w:t>
      </w:r>
    </w:p>
    <w:p w:rsidR="00DF7ED8" w:rsidRDefault="00DF7ED8">
      <w:pPr>
        <w:jc w:val="both"/>
        <w:rPr>
          <w:rFonts w:cs="Arial"/>
          <w:sz w:val="22"/>
          <w:szCs w:val="22"/>
        </w:rPr>
      </w:pPr>
    </w:p>
    <w:p w:rsidR="00DF7ED8" w:rsidRDefault="00832153">
      <w:pPr>
        <w:jc w:val="both"/>
        <w:rPr>
          <w:rFonts w:cs="Arial"/>
          <w:sz w:val="22"/>
          <w:szCs w:val="22"/>
        </w:rPr>
      </w:pPr>
      <w:r>
        <w:rPr>
          <w:rFonts w:cs="Arial"/>
          <w:sz w:val="22"/>
          <w:szCs w:val="22"/>
        </w:rPr>
        <w:t>Pour Francis Mary,la méthode peut s’exposer par deux principes de mise en œuvre :</w:t>
      </w:r>
    </w:p>
    <w:p w:rsidR="00DF7ED8" w:rsidRDefault="00DF7ED8">
      <w:pPr>
        <w:jc w:val="both"/>
        <w:rPr>
          <w:rFonts w:cs="Arial"/>
          <w:sz w:val="22"/>
          <w:szCs w:val="22"/>
        </w:rPr>
      </w:pPr>
    </w:p>
    <w:p w:rsidR="00DF7ED8" w:rsidRDefault="00832153">
      <w:pPr>
        <w:jc w:val="both"/>
        <w:rPr>
          <w:rFonts w:cs="Arial"/>
          <w:sz w:val="22"/>
          <w:szCs w:val="22"/>
        </w:rPr>
      </w:pPr>
      <w:r>
        <w:rPr>
          <w:rFonts w:cs="Arial"/>
          <w:b/>
          <w:sz w:val="22"/>
          <w:szCs w:val="22"/>
        </w:rPr>
        <w:t>Le premier</w:t>
      </w:r>
      <w:r>
        <w:rPr>
          <w:rFonts w:cs="Arial"/>
          <w:sz w:val="22"/>
          <w:szCs w:val="22"/>
        </w:rPr>
        <w:t xml:space="preserve"> trouve son champ dans la collecte de séries org</w:t>
      </w:r>
      <w:r>
        <w:rPr>
          <w:rFonts w:cs="Arial"/>
          <w:sz w:val="22"/>
          <w:szCs w:val="22"/>
        </w:rPr>
        <w:t>anisées. Il s’agit d’une pratique du recensement du « même » dans ses multiples versions disponibles. On pourrait l’appréhender comme un répertoire de voies d’accès dans « l’ordre trouvé ». Cette appropriation constate la composition pré-organisée d’ensemb</w:t>
      </w:r>
      <w:r>
        <w:rPr>
          <w:rFonts w:cs="Arial"/>
          <w:sz w:val="22"/>
          <w:szCs w:val="22"/>
        </w:rPr>
        <w:t>les d’objets à fonctionnalité économique, industrielle ou artisanale. La finalité première de ces corps homogènes en apparence est leur mise en circulation pour l’usage ; elle n’est pas d’ordre esthétique. Par ce détournement de leur fonction et le déplace</w:t>
      </w:r>
      <w:r>
        <w:rPr>
          <w:rFonts w:cs="Arial"/>
          <w:sz w:val="22"/>
          <w:szCs w:val="22"/>
        </w:rPr>
        <w:t>ment dans l’inutilisable, Jean Glibert en fait surgir un sens plastique qui s’y trouvait contenu comme « par défaut ». Relevons que les outils à tracer, à peindre, à dessiner, à percer y tiennent une place particulière.</w:t>
      </w:r>
    </w:p>
    <w:p w:rsidR="00DF7ED8" w:rsidRDefault="00DF7ED8">
      <w:pPr>
        <w:jc w:val="both"/>
        <w:rPr>
          <w:rFonts w:cs="Arial"/>
          <w:sz w:val="22"/>
          <w:szCs w:val="22"/>
        </w:rPr>
      </w:pPr>
    </w:p>
    <w:p w:rsidR="00DF7ED8" w:rsidRDefault="00DF7ED8">
      <w:pPr>
        <w:jc w:val="both"/>
        <w:rPr>
          <w:rFonts w:cs="Arial"/>
          <w:sz w:val="22"/>
          <w:szCs w:val="22"/>
        </w:rPr>
      </w:pPr>
    </w:p>
    <w:p w:rsidR="00DF7ED8" w:rsidRDefault="00832153">
      <w:pPr>
        <w:jc w:val="center"/>
        <w:rPr>
          <w:rFonts w:cs="Arial"/>
          <w:sz w:val="22"/>
          <w:szCs w:val="22"/>
        </w:rPr>
      </w:pPr>
      <w:r>
        <w:rPr>
          <w:rFonts w:cs="Arial"/>
          <w:noProof/>
          <w:color w:val="FF0000"/>
          <w:sz w:val="22"/>
          <w:szCs w:val="22"/>
          <w:lang w:val="fr-BE" w:eastAsia="fr-BE"/>
        </w:rPr>
        <w:drawing>
          <wp:inline distT="0" distB="0" distL="0" distR="0">
            <wp:extent cx="3732232" cy="2493645"/>
            <wp:effectExtent l="0" t="0" r="1905" b="1905"/>
            <wp:docPr id="4" name="Image 4" descr="Macintosh HD:Users:laurentjacob:Downloads:JG-BoÃ®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laurentjacob:Downloads:JG-BoÃ®te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37200" cy="2496965"/>
                    </a:xfrm>
                    <a:prstGeom prst="rect">
                      <a:avLst/>
                    </a:prstGeom>
                    <a:noFill/>
                    <a:ln>
                      <a:noFill/>
                    </a:ln>
                  </pic:spPr>
                </pic:pic>
              </a:graphicData>
            </a:graphic>
          </wp:inline>
        </w:drawing>
      </w:r>
    </w:p>
    <w:p w:rsidR="00DF7ED8" w:rsidRDefault="00DF7ED8">
      <w:pPr>
        <w:jc w:val="both"/>
        <w:rPr>
          <w:rFonts w:cs="Arial"/>
          <w:b/>
          <w:sz w:val="22"/>
          <w:szCs w:val="22"/>
        </w:rPr>
      </w:pPr>
    </w:p>
    <w:p w:rsidR="00DF7ED8" w:rsidRDefault="00832153">
      <w:pPr>
        <w:jc w:val="center"/>
        <w:rPr>
          <w:rFonts w:cs="Arial"/>
          <w:b/>
          <w:sz w:val="22"/>
          <w:szCs w:val="22"/>
        </w:rPr>
      </w:pPr>
      <w:r>
        <w:rPr>
          <w:rFonts w:eastAsia="Calibri" w:cs="Arial"/>
          <w:i/>
          <w:iCs/>
          <w:color w:val="AEAAAA" w:themeColor="background2" w:themeShade="BF"/>
          <w:sz w:val="20"/>
          <w:szCs w:val="20"/>
          <w:lang w:val="fr-BE" w:eastAsia="en-US"/>
        </w:rPr>
        <w:t>© Jean Glibert</w:t>
      </w:r>
    </w:p>
    <w:p w:rsidR="00DF7ED8" w:rsidRDefault="00DF7ED8">
      <w:pPr>
        <w:jc w:val="both"/>
        <w:rPr>
          <w:rFonts w:cs="Arial"/>
          <w:b/>
          <w:sz w:val="22"/>
          <w:szCs w:val="22"/>
        </w:rPr>
      </w:pPr>
    </w:p>
    <w:p w:rsidR="00DF7ED8" w:rsidRDefault="00832153">
      <w:pPr>
        <w:jc w:val="both"/>
        <w:rPr>
          <w:rFonts w:cs="Arial"/>
          <w:sz w:val="22"/>
          <w:szCs w:val="22"/>
        </w:rPr>
      </w:pPr>
      <w:r>
        <w:rPr>
          <w:rFonts w:cs="Arial"/>
          <w:b/>
          <w:sz w:val="22"/>
          <w:szCs w:val="22"/>
        </w:rPr>
        <w:t>Le second</w:t>
      </w:r>
      <w:r>
        <w:rPr>
          <w:rFonts w:cs="Arial"/>
          <w:sz w:val="22"/>
          <w:szCs w:val="22"/>
        </w:rPr>
        <w:t xml:space="preserve"> s’attache à la récolte d’objets façonnés suivant des modes aléatoires (cannettes de boissons écrasées) ou suivant des intentions incertaines (essais des crayons au rayon papeterie, dessins sur les sous-bocks de bière). Ces séries déchiffrent l’ordre des «</w:t>
      </w:r>
      <w:r>
        <w:rPr>
          <w:rFonts w:cs="Arial"/>
          <w:sz w:val="22"/>
          <w:szCs w:val="22"/>
        </w:rPr>
        <w:t> automatismes révélés », des interventions involontaires ou mécaniques. La mise en contexte par Jean Glibert réattribue</w:t>
      </w:r>
      <w:r>
        <w:rPr>
          <w:rFonts w:cs="Arial"/>
          <w:color w:val="92D050"/>
          <w:sz w:val="22"/>
          <w:szCs w:val="22"/>
        </w:rPr>
        <w:t xml:space="preserve"> </w:t>
      </w:r>
      <w:r>
        <w:rPr>
          <w:rFonts w:cs="Arial"/>
          <w:sz w:val="22"/>
          <w:szCs w:val="22"/>
        </w:rPr>
        <w:t>là encore une valeur plastique à l’ensemble.</w:t>
      </w:r>
      <w:r>
        <w:rPr>
          <w:rFonts w:cs="Arial"/>
          <w:b/>
          <w:sz w:val="22"/>
          <w:szCs w:val="22"/>
        </w:rPr>
        <w:br w:type="page"/>
      </w:r>
    </w:p>
    <w:p w:rsidR="00DF7ED8" w:rsidRDefault="00832153">
      <w:pPr>
        <w:pStyle w:val="Titre2"/>
        <w:rPr>
          <w:rFonts w:asciiTheme="minorHAnsi" w:hAnsiTheme="minorHAnsi"/>
        </w:rPr>
      </w:pPr>
      <w:bookmarkStart w:id="5" w:name="_Toc494977005"/>
      <w:r>
        <w:rPr>
          <w:rFonts w:asciiTheme="minorHAnsi" w:hAnsiTheme="minorHAnsi"/>
        </w:rPr>
        <w:lastRenderedPageBreak/>
        <w:t>Peintures photographies recherches</w:t>
      </w:r>
      <w:bookmarkEnd w:id="5"/>
    </w:p>
    <w:p w:rsidR="00DF7ED8" w:rsidRDefault="00DF7ED8"/>
    <w:p w:rsidR="00DF7ED8" w:rsidRDefault="00832153">
      <w:pPr>
        <w:jc w:val="both"/>
        <w:rPr>
          <w:rFonts w:cs="Arial"/>
          <w:sz w:val="22"/>
          <w:szCs w:val="22"/>
        </w:rPr>
      </w:pPr>
      <w:r>
        <w:rPr>
          <w:rFonts w:cs="Arial"/>
          <w:sz w:val="22"/>
          <w:szCs w:val="22"/>
        </w:rPr>
        <w:t xml:space="preserve">Les méthodologies de Jean Glibert ne reposent pas que </w:t>
      </w:r>
      <w:r>
        <w:rPr>
          <w:rFonts w:cs="Arial"/>
          <w:sz w:val="22"/>
          <w:szCs w:val="22"/>
        </w:rPr>
        <w:t xml:space="preserve">sur l'étude des contextes d’intégration de ses œuvres. L'analyse objective des données environnementales se double d'une démarche libre de toute contrainte extérieure aux problèmes purement plastiques et assimilable à de la recherche pure. </w:t>
      </w:r>
    </w:p>
    <w:p w:rsidR="00DF7ED8" w:rsidRDefault="00DF7ED8">
      <w:pPr>
        <w:jc w:val="both"/>
        <w:rPr>
          <w:rFonts w:cs="Arial"/>
          <w:sz w:val="22"/>
          <w:szCs w:val="22"/>
        </w:rPr>
      </w:pPr>
    </w:p>
    <w:p w:rsidR="00DF7ED8" w:rsidRDefault="00832153">
      <w:pPr>
        <w:jc w:val="center"/>
        <w:rPr>
          <w:rFonts w:cs="Arial"/>
          <w:sz w:val="22"/>
          <w:szCs w:val="22"/>
        </w:rPr>
      </w:pPr>
      <w:r>
        <w:rPr>
          <w:rFonts w:cs="Arial"/>
          <w:noProof/>
          <w:color w:val="FF0000"/>
          <w:sz w:val="22"/>
          <w:szCs w:val="22"/>
          <w:lang w:val="fr-BE" w:eastAsia="fr-BE"/>
        </w:rPr>
        <w:drawing>
          <wp:inline distT="0" distB="0" distL="0" distR="0">
            <wp:extent cx="3839307" cy="2821036"/>
            <wp:effectExtent l="0" t="0" r="8890" b="0"/>
            <wp:docPr id="16" name="Image 5" descr="disk:Company:Public:9-Documentation:2014 expo Glibert:Photo_Gbilert:IMG_45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k:Company:Public:9-Documentation:2014 expo Glibert:Photo_Gbilert:IMG_4514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7358" cy="2826952"/>
                    </a:xfrm>
                    <a:prstGeom prst="rect">
                      <a:avLst/>
                    </a:prstGeom>
                    <a:noFill/>
                    <a:ln>
                      <a:noFill/>
                    </a:ln>
                  </pic:spPr>
                </pic:pic>
              </a:graphicData>
            </a:graphic>
          </wp:inline>
        </w:drawing>
      </w:r>
    </w:p>
    <w:p w:rsidR="00DF7ED8" w:rsidRDefault="00832153">
      <w:pPr>
        <w:ind w:firstLine="708"/>
        <w:jc w:val="both"/>
        <w:rPr>
          <w:rFonts w:cs="Arial"/>
          <w:sz w:val="22"/>
          <w:szCs w:val="22"/>
        </w:rPr>
      </w:pPr>
      <w:r>
        <w:rPr>
          <w:noProof/>
          <w:lang w:val="fr-BE" w:eastAsia="fr-BE"/>
        </w:rPr>
        <mc:AlternateContent>
          <mc:Choice Requires="wps">
            <w:drawing>
              <wp:anchor distT="0" distB="0" distL="114300" distR="114300" simplePos="0" relativeHeight="251670528" behindDoc="0" locked="0" layoutInCell="1" allowOverlap="1">
                <wp:simplePos x="0" y="0"/>
                <wp:positionH relativeFrom="margin">
                  <wp:posOffset>1062356</wp:posOffset>
                </wp:positionH>
                <wp:positionV relativeFrom="paragraph">
                  <wp:posOffset>8255</wp:posOffset>
                </wp:positionV>
                <wp:extent cx="3657600" cy="314325"/>
                <wp:effectExtent l="0" t="0" r="0" b="9525"/>
                <wp:wrapNone/>
                <wp:docPr id="17" name="Text Box 17"/>
                <wp:cNvGraphicFramePr/>
                <a:graphic xmlns:a="http://schemas.openxmlformats.org/drawingml/2006/main">
                  <a:graphicData uri="http://schemas.microsoft.com/office/word/2010/wordprocessingShape">
                    <wps:wsp>
                      <wps:cNvSpPr txBox="1"/>
                      <wps:spPr>
                        <a:xfrm>
                          <a:off x="0" y="0"/>
                          <a:ext cx="3657600" cy="314325"/>
                        </a:xfrm>
                        <a:prstGeom prst="rect">
                          <a:avLst/>
                        </a:prstGeom>
                        <a:solidFill>
                          <a:prstClr val="white"/>
                        </a:solidFill>
                        <a:ln>
                          <a:noFill/>
                        </a:ln>
                        <a:effectLst/>
                      </wps:spPr>
                      <wps:txbx>
                        <w:txbxContent>
                          <w:p w:rsidR="00DF7ED8" w:rsidRDefault="00832153">
                            <w:pPr>
                              <w:jc w:val="center"/>
                              <w:rPr>
                                <w:rFonts w:ascii="Bozar AM" w:hAnsi="Bozar AM" w:cs="Arial"/>
                                <w:color w:val="808080" w:themeColor="background1" w:themeShade="80"/>
                                <w:sz w:val="20"/>
                                <w:szCs w:val="20"/>
                              </w:rPr>
                            </w:pPr>
                            <w:r>
                              <w:rPr>
                                <w:rFonts w:ascii="Bozar AM" w:hAnsi="Bozar AM" w:cs="Arial"/>
                                <w:i/>
                                <w:color w:val="808080" w:themeColor="background1" w:themeShade="80"/>
                                <w:sz w:val="20"/>
                                <w:szCs w:val="20"/>
                              </w:rPr>
                              <w:t>157</w:t>
                            </w:r>
                            <w:r>
                              <w:rPr>
                                <w:rFonts w:ascii="Bozar AM" w:hAnsi="Bozar AM" w:cs="Arial"/>
                                <w:color w:val="808080" w:themeColor="background1" w:themeShade="80"/>
                                <w:sz w:val="20"/>
                                <w:szCs w:val="20"/>
                              </w:rPr>
                              <w:t>, 2013</w:t>
                            </w:r>
                            <w:r>
                              <w:rPr>
                                <w:rFonts w:ascii="Bozar AM" w:hAnsi="Bozar AM" w:cs="Arial"/>
                                <w:color w:val="808080" w:themeColor="background1" w:themeShade="80"/>
                                <w:sz w:val="20"/>
                                <w:szCs w:val="20"/>
                              </w:rPr>
                              <w:t>. Jean Glibert. Peinture industrielle sur papier calque</w:t>
                            </w:r>
                            <w:r>
                              <w:rPr>
                                <w:rFonts w:ascii="Bozar AM" w:hAnsi="Bozar AM" w:cs="Arial"/>
                                <w:color w:val="808080" w:themeColor="background1" w:themeShade="80"/>
                                <w:sz w:val="18"/>
                                <w:szCs w:val="18"/>
                              </w:rPr>
                              <w:t>. 120 x 85 cm.</w:t>
                            </w:r>
                            <w:r>
                              <w:rPr>
                                <w:noProof/>
                                <w:color w:val="808080" w:themeColor="background1" w:themeShade="80"/>
                                <w:sz w:val="18"/>
                                <w:szCs w:val="18"/>
                              </w:rPr>
                              <w:t xml:space="preserve"> </w:t>
                            </w:r>
                            <w:r>
                              <w:rPr>
                                <w:rFonts w:ascii="Bozar AM" w:hAnsi="Bozar AM" w:cs="Arial"/>
                                <w:color w:val="808080" w:themeColor="background1" w:themeShade="80"/>
                                <w:sz w:val="18"/>
                                <w:szCs w:val="18"/>
                              </w:rPr>
                              <w:t xml:space="preserve">© </w:t>
                            </w:r>
                            <w:r>
                              <w:rPr>
                                <w:rFonts w:ascii="Bozar AM" w:hAnsi="Bozar AM" w:cs="Arial"/>
                                <w:color w:val="808080" w:themeColor="background1" w:themeShade="80"/>
                                <w:sz w:val="20"/>
                                <w:szCs w:val="20"/>
                              </w:rPr>
                              <w:t>Jean Glibert</w:t>
                            </w:r>
                          </w:p>
                          <w:p w:rsidR="00DF7ED8" w:rsidRDefault="00DF7ED8">
                            <w:pPr>
                              <w:pStyle w:val="Lgende"/>
                              <w:rPr>
                                <w:rFonts w:cs="Arial"/>
                                <w:b/>
                                <w:noProof/>
                                <w:color w:val="AEAAAA" w:themeColor="background2" w:themeShade="BF"/>
                                <w:sz w:val="20"/>
                                <w:szCs w:val="20"/>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Text Box 17" o:spid="_x0000_s1028" type="#_x0000_t202" style="position:absolute;left:0;text-align:left;margin-left:83.65pt;margin-top:.65pt;width:4in;height:24.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" stroked="f">
                <v:textbox inset="0,0,0,0">
                  <w:txbxContent>
                    <w:p>
                      <w:pPr>
                        <w:jc w:val="center"/>
                        <w:rPr>
                          <w:rFonts w:ascii="Bozar AM" w:hAnsi="Bozar AM" w:cs="Arial"/>
                          <w:color w:val="808080" w:themeColor="background1" w:themeShade="80"/>
                          <w:sz w:val="20"/>
                          <w:szCs w:val="20"/>
                        </w:rPr>
                      </w:pPr>
                      <w:r>
                        <w:rPr>
                          <w:rFonts w:ascii="Bozar AM" w:hAnsi="Bozar AM" w:cs="Arial"/>
                          <w:i/>
                          <w:color w:val="808080" w:themeColor="background1" w:themeShade="80"/>
                          <w:sz w:val="20"/>
                          <w:szCs w:val="20"/>
                        </w:rPr>
                        <w:t>157</w:t>
                      </w:r>
                      <w:r>
                        <w:rPr>
                          <w:rFonts w:ascii="Bozar AM" w:hAnsi="Bozar AM" w:cs="Arial"/>
                          <w:color w:val="808080" w:themeColor="background1" w:themeShade="80"/>
                          <w:sz w:val="20"/>
                          <w:szCs w:val="20"/>
                        </w:rPr>
                        <w:t>, 2013. Jean Glibert. Peinture industrielle sur papier calque</w:t>
                      </w:r>
                      <w:r>
                        <w:rPr>
                          <w:rFonts w:ascii="Bozar AM" w:hAnsi="Bozar AM" w:cs="Arial"/>
                          <w:color w:val="808080" w:themeColor="background1" w:themeShade="80"/>
                          <w:sz w:val="18"/>
                          <w:szCs w:val="18"/>
                        </w:rPr>
                        <w:t>. 120 x 85 cm.</w:t>
                      </w:r>
                      <w:r>
                        <w:rPr>
                          <w:noProof/>
                          <w:color w:val="808080" w:themeColor="background1" w:themeShade="80"/>
                          <w:sz w:val="18"/>
                          <w:szCs w:val="18"/>
                        </w:rPr>
                        <w:t xml:space="preserve"> </w:t>
                      </w:r>
                      <w:r>
                        <w:rPr>
                          <w:rFonts w:ascii="Bozar AM" w:hAnsi="Bozar AM" w:cs="Arial"/>
                          <w:color w:val="808080" w:themeColor="background1" w:themeShade="80"/>
                          <w:sz w:val="18"/>
                          <w:szCs w:val="18"/>
                        </w:rPr>
                        <w:t xml:space="preserve">© </w:t>
                      </w:r>
                      <w:r>
                        <w:rPr>
                          <w:rFonts w:ascii="Bozar AM" w:hAnsi="Bozar AM" w:cs="Arial"/>
                          <w:color w:val="808080" w:themeColor="background1" w:themeShade="80"/>
                          <w:sz w:val="20"/>
                          <w:szCs w:val="20"/>
                        </w:rPr>
                        <w:t>Jean Glibert</w:t>
                      </w:r>
                    </w:p>
                    <w:p>
                      <w:pPr>
                        <w:pStyle w:val="Lgende"/>
                        <w:rPr>
                          <w:rFonts w:cs="Arial"/>
                          <w:b/>
                          <w:noProof/>
                          <w:color w:val="AEAAAA" w:themeColor="background2" w:themeShade="BF"/>
                          <w:sz w:val="20"/>
                          <w:szCs w:val="20"/>
                          <w:lang w:val="fr-FR"/>
                        </w:rPr>
                      </w:pPr>
                    </w:p>
                  </w:txbxContent>
                </v:textbox>
                <w10:wrap anchorx="margin"/>
              </v:shape>
            </w:pict>
          </mc:Fallback>
        </mc:AlternateContent>
      </w:r>
    </w:p>
    <w:p w:rsidR="00DF7ED8" w:rsidRDefault="00DF7ED8">
      <w:pPr>
        <w:jc w:val="both"/>
        <w:rPr>
          <w:rFonts w:cs="Arial"/>
          <w:sz w:val="22"/>
          <w:szCs w:val="22"/>
        </w:rPr>
      </w:pPr>
    </w:p>
    <w:p w:rsidR="00DF7ED8" w:rsidRDefault="00DF7ED8">
      <w:pPr>
        <w:jc w:val="both"/>
        <w:rPr>
          <w:rFonts w:cs="Arial"/>
          <w:sz w:val="22"/>
          <w:szCs w:val="22"/>
        </w:rPr>
      </w:pPr>
    </w:p>
    <w:p w:rsidR="00DF7ED8" w:rsidRDefault="00832153">
      <w:pPr>
        <w:jc w:val="both"/>
        <w:rPr>
          <w:rFonts w:cs="Arial"/>
          <w:sz w:val="22"/>
          <w:szCs w:val="22"/>
        </w:rPr>
      </w:pPr>
      <w:r>
        <w:rPr>
          <w:rFonts w:cs="Arial"/>
          <w:sz w:val="22"/>
          <w:szCs w:val="22"/>
        </w:rPr>
        <w:t xml:space="preserve">Glibert travaille avec tout un arsenal de modèles expérimentaux développés dans l'absolu. Ses peintures témoignent ainsi d'une réflexion fondamentale sur la qualité </w:t>
      </w:r>
      <w:r>
        <w:rPr>
          <w:rFonts w:cs="Arial"/>
          <w:sz w:val="22"/>
          <w:szCs w:val="22"/>
        </w:rPr>
        <w:t>des couleurs, sur leurs combinaisons, sur leurs techniques d'application, d'inclusion ou de retranchement. Elle aboutit notamment à une logique « matiériste » où les teintes sont définies par leurs qualités intrinsèques : noir/goudron, noir/fusain, noir/en</w:t>
      </w:r>
      <w:r>
        <w:rPr>
          <w:rFonts w:cs="Arial"/>
          <w:sz w:val="22"/>
          <w:szCs w:val="22"/>
        </w:rPr>
        <w:t>cre de Chine, orange/antirouille … Il y a des intentions dans le choix des supports lisses, industriels, sans matière expressive pour que prévalent les relations entre les formes d’une part et les pigments, les outils et les mouvements de l’exécutant d’aut</w:t>
      </w:r>
      <w:r>
        <w:rPr>
          <w:rFonts w:cs="Arial"/>
          <w:sz w:val="22"/>
          <w:szCs w:val="22"/>
        </w:rPr>
        <w:t>re part.</w:t>
      </w:r>
    </w:p>
    <w:p w:rsidR="00DF7ED8" w:rsidRDefault="00DF7ED8">
      <w:pPr>
        <w:ind w:firstLine="708"/>
        <w:jc w:val="both"/>
        <w:rPr>
          <w:rFonts w:cs="Arial"/>
          <w:sz w:val="22"/>
          <w:szCs w:val="22"/>
        </w:rPr>
      </w:pPr>
    </w:p>
    <w:p w:rsidR="00DF7ED8" w:rsidRDefault="00832153">
      <w:pPr>
        <w:jc w:val="both"/>
        <w:rPr>
          <w:rFonts w:cs="Arial"/>
          <w:sz w:val="22"/>
          <w:szCs w:val="22"/>
        </w:rPr>
      </w:pPr>
      <w:r>
        <w:rPr>
          <w:rFonts w:cs="Arial"/>
          <w:sz w:val="22"/>
          <w:szCs w:val="22"/>
        </w:rPr>
        <w:t xml:space="preserve">Les rapports entre ces travaux et les réalisations </w:t>
      </w:r>
      <w:r>
        <w:rPr>
          <w:rFonts w:cs="Arial"/>
          <w:i/>
          <w:sz w:val="22"/>
          <w:szCs w:val="22"/>
        </w:rPr>
        <w:t>in situ</w:t>
      </w:r>
      <w:r>
        <w:rPr>
          <w:rFonts w:cs="Arial"/>
          <w:sz w:val="22"/>
          <w:szCs w:val="22"/>
        </w:rPr>
        <w:t xml:space="preserve"> ne sont pas directs. Il ne s'agit pas de reproduire une expérience « grandeur nature » mais de transposer ses résultats : les prototypes d’étude ne sont jamais destinés à se trouver agran</w:t>
      </w:r>
      <w:r>
        <w:rPr>
          <w:rFonts w:cs="Arial"/>
          <w:sz w:val="22"/>
          <w:szCs w:val="22"/>
        </w:rPr>
        <w:t>dis dans l'architecture. Ce sont leurs effets et la meilleure façon de les obtenir qui intéressent Glibert. En dépit de ressemblances formelles, les modèles volumétriques ne sont pas des maquettes d’urbanisme à construire, pas plus d'ailleurs que des sculp</w:t>
      </w:r>
      <w:r>
        <w:rPr>
          <w:rFonts w:cs="Arial"/>
          <w:sz w:val="22"/>
          <w:szCs w:val="22"/>
        </w:rPr>
        <w:t>tures. Leur définition tient dans les rapports chromatiques et formels qu’elles donnent à voir et qui donnent des éléments de compréhension de l’espace. Dans le même esprit, Glibert effectue des recherches d'opacité et de transparence des supports, sur les</w:t>
      </w:r>
      <w:r>
        <w:rPr>
          <w:rFonts w:cs="Arial"/>
          <w:sz w:val="22"/>
          <w:szCs w:val="22"/>
        </w:rPr>
        <w:t xml:space="preserve"> perforations, sur les matières sensibles aux variations des chaleurs lumineuses, sur la réflexion des couleurs, leur positionnement ou leur orientation.</w:t>
      </w:r>
      <w:r>
        <w:rPr>
          <w:rFonts w:cs="Arial"/>
          <w:b/>
          <w:sz w:val="22"/>
          <w:szCs w:val="22"/>
        </w:rPr>
        <w:br w:type="page"/>
      </w:r>
    </w:p>
    <w:p w:rsidR="00DF7ED8" w:rsidRDefault="00832153">
      <w:pPr>
        <w:pStyle w:val="Titre2"/>
        <w:rPr>
          <w:rFonts w:asciiTheme="minorHAnsi" w:hAnsiTheme="minorHAnsi"/>
        </w:rPr>
      </w:pPr>
      <w:bookmarkStart w:id="6" w:name="_Toc494977006"/>
      <w:r>
        <w:rPr>
          <w:rFonts w:asciiTheme="minorHAnsi" w:hAnsiTheme="minorHAnsi"/>
        </w:rPr>
        <w:lastRenderedPageBreak/>
        <w:t>Interventions in situ </w:t>
      </w:r>
      <w:bookmarkEnd w:id="6"/>
    </w:p>
    <w:p w:rsidR="00DF7ED8" w:rsidRDefault="00DF7ED8">
      <w:pPr>
        <w:rPr>
          <w:rFonts w:cs="Arial"/>
          <w:sz w:val="22"/>
          <w:szCs w:val="22"/>
        </w:rPr>
      </w:pPr>
    </w:p>
    <w:p w:rsidR="00DF7ED8" w:rsidRDefault="00832153">
      <w:pPr>
        <w:jc w:val="both"/>
        <w:rPr>
          <w:rFonts w:cs="Arial"/>
          <w:sz w:val="22"/>
          <w:szCs w:val="22"/>
        </w:rPr>
      </w:pPr>
      <w:r>
        <w:rPr>
          <w:rFonts w:cs="Arial"/>
          <w:sz w:val="22"/>
          <w:szCs w:val="22"/>
        </w:rPr>
        <w:t xml:space="preserve">Pour </w:t>
      </w:r>
      <w:r>
        <w:rPr>
          <w:rFonts w:cs="Arial"/>
          <w:i/>
          <w:sz w:val="22"/>
          <w:szCs w:val="22"/>
        </w:rPr>
        <w:t>Jean Glibert. Peintre en bâtiment</w:t>
      </w:r>
      <w:r>
        <w:rPr>
          <w:rFonts w:cs="Arial"/>
          <w:sz w:val="22"/>
          <w:szCs w:val="22"/>
        </w:rPr>
        <w:t xml:space="preserve">, quatre interventions </w:t>
      </w:r>
      <w:r>
        <w:rPr>
          <w:rFonts w:cs="Arial"/>
          <w:i/>
          <w:sz w:val="22"/>
          <w:szCs w:val="22"/>
        </w:rPr>
        <w:t>in situ</w:t>
      </w:r>
      <w:r>
        <w:rPr>
          <w:rFonts w:cs="Arial"/>
          <w:sz w:val="22"/>
          <w:szCs w:val="22"/>
        </w:rPr>
        <w:t xml:space="preserve"> ont été </w:t>
      </w:r>
      <w:r>
        <w:rPr>
          <w:rFonts w:cs="Arial"/>
          <w:sz w:val="22"/>
          <w:szCs w:val="22"/>
        </w:rPr>
        <w:t xml:space="preserve">mises en œuvre au Palais des Beaux-Arts de Bruxelles. Elles proposaient une grille de lecture du Palais des Beaux-Arts conçu par Victor Horta. Glibert les a portées sur des espaces résiduels ou interstitiels, sur des articulations, des circulations et des </w:t>
      </w:r>
      <w:r>
        <w:rPr>
          <w:rFonts w:cs="Arial"/>
          <w:sz w:val="22"/>
          <w:szCs w:val="22"/>
        </w:rPr>
        <w:t>éléments structurels mettant en tension l’architecture du bâtiment. Les interventions sont actuellement toujours visibles.</w:t>
      </w:r>
    </w:p>
    <w:p w:rsidR="00DF7ED8" w:rsidRDefault="00DF7ED8">
      <w:pPr>
        <w:jc w:val="both"/>
        <w:rPr>
          <w:rFonts w:cs="Arial"/>
          <w:sz w:val="22"/>
          <w:szCs w:val="22"/>
        </w:rPr>
      </w:pPr>
    </w:p>
    <w:p w:rsidR="00DF7ED8" w:rsidRDefault="00832153">
      <w:pPr>
        <w:jc w:val="center"/>
        <w:rPr>
          <w:rFonts w:cs="Arial"/>
          <w:sz w:val="22"/>
          <w:szCs w:val="22"/>
        </w:rPr>
      </w:pPr>
      <w:r>
        <w:rPr>
          <w:noProof/>
          <w:lang w:val="fr-BE" w:eastAsia="fr-BE"/>
        </w:rPr>
        <w:drawing>
          <wp:inline distT="0" distB="0" distL="0" distR="0">
            <wp:extent cx="4814984" cy="2834217"/>
            <wp:effectExtent l="0" t="0" r="5080" b="4445"/>
            <wp:docPr id="10" name="Image 10" descr="C:\Users\xle\AppData\Local\Microsoft\Windows\INetCache\Content.Word\_MG_4678.jean.glibert.interventi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xle\AppData\Local\Microsoft\Windows\INetCache\Content.Word\_MG_4678.jean.glibert.intervention.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38875" cy="2848280"/>
                    </a:xfrm>
                    <a:prstGeom prst="rect">
                      <a:avLst/>
                    </a:prstGeom>
                    <a:noFill/>
                    <a:ln>
                      <a:noFill/>
                    </a:ln>
                  </pic:spPr>
                </pic:pic>
              </a:graphicData>
            </a:graphic>
          </wp:inline>
        </w:drawing>
      </w:r>
    </w:p>
    <w:p w:rsidR="00DF7ED8" w:rsidRDefault="00DF7ED8">
      <w:pPr>
        <w:jc w:val="both"/>
        <w:rPr>
          <w:rFonts w:cs="Arial"/>
          <w:sz w:val="22"/>
          <w:szCs w:val="22"/>
          <w:highlight w:val="red"/>
        </w:rPr>
      </w:pPr>
    </w:p>
    <w:p w:rsidR="00DF7ED8" w:rsidRDefault="00832153">
      <w:pPr>
        <w:jc w:val="center"/>
        <w:rPr>
          <w:rFonts w:cs="Arial"/>
          <w:color w:val="808080" w:themeColor="background1" w:themeShade="80"/>
          <w:sz w:val="20"/>
          <w:szCs w:val="20"/>
        </w:rPr>
      </w:pPr>
      <w:r>
        <w:rPr>
          <w:rFonts w:cs="Arial"/>
          <w:color w:val="808080" w:themeColor="background1" w:themeShade="80"/>
          <w:sz w:val="18"/>
          <w:szCs w:val="18"/>
        </w:rPr>
        <w:t xml:space="preserve">Intervention pour le hall Horta – BOZAR (sous-marin) </w:t>
      </w:r>
      <w:r>
        <w:rPr>
          <w:rFonts w:cs="Courier New"/>
          <w:color w:val="808080" w:themeColor="background1" w:themeShade="80"/>
          <w:sz w:val="18"/>
          <w:szCs w:val="18"/>
        </w:rPr>
        <w:t>© Jean Glibert</w:t>
      </w:r>
    </w:p>
    <w:p w:rsidR="00DF7ED8" w:rsidRDefault="00DF7ED8">
      <w:pPr>
        <w:jc w:val="both"/>
        <w:rPr>
          <w:rFonts w:cs="Arial"/>
          <w:sz w:val="22"/>
          <w:szCs w:val="22"/>
        </w:rPr>
      </w:pPr>
    </w:p>
    <w:p w:rsidR="00DF7ED8" w:rsidRDefault="00DF7ED8">
      <w:pPr>
        <w:jc w:val="both"/>
        <w:rPr>
          <w:rFonts w:cs="Arial"/>
          <w:sz w:val="22"/>
          <w:szCs w:val="22"/>
        </w:rPr>
      </w:pPr>
    </w:p>
    <w:p w:rsidR="00DF7ED8" w:rsidRDefault="00832153">
      <w:pPr>
        <w:jc w:val="center"/>
        <w:rPr>
          <w:rFonts w:cs="Arial"/>
          <w:sz w:val="22"/>
          <w:szCs w:val="22"/>
        </w:rPr>
      </w:pPr>
      <w:r>
        <w:rPr>
          <w:noProof/>
          <w:lang w:val="fr-BE" w:eastAsia="fr-BE"/>
        </w:rPr>
        <w:drawing>
          <wp:inline distT="0" distB="0" distL="0" distR="0">
            <wp:extent cx="4866005" cy="3649504"/>
            <wp:effectExtent l="0" t="0" r="0" b="8255"/>
            <wp:docPr id="11" name="Image 11" descr="C:\Users\xle\AppData\Local\Microsoft\Windows\INetCache\Content.Word\IMG_5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xle\AppData\Local\Microsoft\Windows\INetCache\Content.Word\IMG_55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6423" cy="3657317"/>
                    </a:xfrm>
                    <a:prstGeom prst="rect">
                      <a:avLst/>
                    </a:prstGeom>
                    <a:noFill/>
                    <a:ln>
                      <a:noFill/>
                    </a:ln>
                  </pic:spPr>
                </pic:pic>
              </a:graphicData>
            </a:graphic>
          </wp:inline>
        </w:drawing>
      </w:r>
    </w:p>
    <w:p w:rsidR="00DF7ED8" w:rsidRDefault="00DF7ED8">
      <w:pPr>
        <w:jc w:val="center"/>
        <w:rPr>
          <w:rFonts w:cs="Arial"/>
          <w:sz w:val="22"/>
          <w:szCs w:val="22"/>
        </w:rPr>
      </w:pPr>
    </w:p>
    <w:p w:rsidR="00DF7ED8" w:rsidRDefault="00832153">
      <w:pPr>
        <w:jc w:val="center"/>
        <w:rPr>
          <w:rFonts w:cs="Arial"/>
          <w:color w:val="808080" w:themeColor="background1" w:themeShade="80"/>
          <w:sz w:val="20"/>
          <w:szCs w:val="20"/>
        </w:rPr>
      </w:pPr>
      <w:r>
        <w:rPr>
          <w:rFonts w:cs="Arial"/>
          <w:color w:val="808080" w:themeColor="background1" w:themeShade="80"/>
          <w:sz w:val="18"/>
          <w:szCs w:val="18"/>
        </w:rPr>
        <w:t>Intervention pour le patio du foyer 3 – BOZAR</w:t>
      </w:r>
      <w:r>
        <w:rPr>
          <w:rFonts w:cs="Courier New"/>
          <w:color w:val="808080" w:themeColor="background1" w:themeShade="80"/>
          <w:sz w:val="18"/>
          <w:szCs w:val="18"/>
        </w:rPr>
        <w:t xml:space="preserve"> © Jean Glibert</w:t>
      </w:r>
    </w:p>
    <w:p w:rsidR="00DF7ED8" w:rsidRDefault="00832153">
      <w:pPr>
        <w:jc w:val="both"/>
        <w:rPr>
          <w:rFonts w:cs="Arial"/>
          <w:sz w:val="22"/>
          <w:szCs w:val="22"/>
        </w:rPr>
      </w:pPr>
      <w:r>
        <w:rPr>
          <w:rFonts w:cs="Arial"/>
          <w:sz w:val="22"/>
          <w:szCs w:val="22"/>
        </w:rPr>
        <w:lastRenderedPageBreak/>
        <w:t>Ces propositions visent à laisser directement appréhender la multiplicité de sens du travail. Le premier point à considérer s’ancre à l’exploitation des rapports entre un lieu et ses utilisateurs. Les réalisations de Jean Glibert touchent a</w:t>
      </w:r>
      <w:r>
        <w:rPr>
          <w:rFonts w:cs="Arial"/>
          <w:sz w:val="22"/>
          <w:szCs w:val="22"/>
        </w:rPr>
        <w:t>ux complexes comportementaux … une caractéristique qui leur confère la nature d'un acte de qualification perceptive de l'espace. Elles modifient la relation de l'utilisateur au lieu, même - et surtout - si elles ne se « vivent » pas comme des œuvres d’art.</w:t>
      </w:r>
      <w:r>
        <w:rPr>
          <w:rFonts w:cs="Arial"/>
          <w:sz w:val="22"/>
          <w:szCs w:val="22"/>
        </w:rPr>
        <w:t xml:space="preserve"> Et, en tant que telles, elles offrent à celui qui les expérimente la possibilité de s'éprouver à travers les qualités des volumes, de l'échelle, des couleurs, des matériaux, de la lumière … et à y prendre la mesure de sa présence, réalisant ainsi ce que l</w:t>
      </w:r>
      <w:r>
        <w:rPr>
          <w:rFonts w:cs="Arial"/>
          <w:sz w:val="22"/>
          <w:szCs w:val="22"/>
        </w:rPr>
        <w:t xml:space="preserve">e philosophe Maurice Merleau-Ponty pose comme un principe fondamental de sa </w:t>
      </w:r>
      <w:r>
        <w:rPr>
          <w:rFonts w:cs="Arial"/>
          <w:i/>
          <w:sz w:val="22"/>
          <w:szCs w:val="22"/>
        </w:rPr>
        <w:t>Phénoménologie de la perception</w:t>
      </w:r>
      <w:r>
        <w:rPr>
          <w:rFonts w:cs="Arial"/>
          <w:sz w:val="22"/>
          <w:szCs w:val="22"/>
        </w:rPr>
        <w:t xml:space="preserve"> : « Je m'éprouve en éprouvant le monde ».</w:t>
      </w:r>
    </w:p>
    <w:p w:rsidR="00DF7ED8" w:rsidRDefault="00DF7ED8">
      <w:pPr>
        <w:ind w:firstLine="708"/>
        <w:jc w:val="both"/>
        <w:rPr>
          <w:rFonts w:cs="Arial"/>
          <w:sz w:val="22"/>
          <w:szCs w:val="22"/>
        </w:rPr>
      </w:pPr>
    </w:p>
    <w:p w:rsidR="00DF7ED8" w:rsidRDefault="00832153">
      <w:pPr>
        <w:jc w:val="both"/>
        <w:rPr>
          <w:rFonts w:cs="Arial"/>
          <w:sz w:val="22"/>
          <w:szCs w:val="22"/>
        </w:rPr>
      </w:pPr>
      <w:r>
        <w:rPr>
          <w:rFonts w:cs="Arial"/>
          <w:sz w:val="22"/>
          <w:szCs w:val="22"/>
        </w:rPr>
        <w:t>Ces quatre pièces permettent en outre de préciser l’acception de l’harmonie chez Jean Glibert : il faut l</w:t>
      </w:r>
      <w:r>
        <w:rPr>
          <w:rFonts w:cs="Arial"/>
          <w:sz w:val="22"/>
          <w:szCs w:val="22"/>
        </w:rPr>
        <w:t>'entendre non comme une formule à appliquer pour créer « un objet agréable aux sens et à l'imagination » mais comme la volonté d'accord des parties d'un tout pour concourir à une même fin. Glibert ne cherche pas à laisser ses interventions se fondre « pais</w:t>
      </w:r>
      <w:r>
        <w:rPr>
          <w:rFonts w:cs="Arial"/>
          <w:sz w:val="22"/>
          <w:szCs w:val="22"/>
        </w:rPr>
        <w:t>iblement » dans leur milieu. Il peut perturber l’architecture. Il cherche à exploiter les rapports, les contrastes formels et surtout chromatiques, davantage d'ailleurs que les couleurs qui, en définitive, ne sont pas choisies pour elles-mêmes mais pour le</w:t>
      </w:r>
      <w:r>
        <w:rPr>
          <w:rFonts w:cs="Arial"/>
          <w:sz w:val="22"/>
          <w:szCs w:val="22"/>
        </w:rPr>
        <w:t xml:space="preserve">s qualités des rapports qu'elles entretiendront avec leur environnement. Sa détermination à travailler hors de l'harmonie classique explique encore son intérêt pour des moyens d'expression hors du bon goût et porteurs de risques en matière de composition. </w:t>
      </w:r>
      <w:r>
        <w:rPr>
          <w:rFonts w:cs="Arial"/>
          <w:sz w:val="22"/>
          <w:szCs w:val="22"/>
        </w:rPr>
        <w:t>On peut penser à l'emploi des peintures fluorescentes choisies pour la force avec laquelle elles irradient et diffusent la lumière.</w:t>
      </w:r>
    </w:p>
    <w:p w:rsidR="00DF7ED8" w:rsidRDefault="00DF7ED8">
      <w:pPr>
        <w:jc w:val="both"/>
        <w:rPr>
          <w:rFonts w:cs="Arial"/>
          <w:sz w:val="22"/>
          <w:szCs w:val="22"/>
        </w:rPr>
      </w:pPr>
    </w:p>
    <w:p w:rsidR="00DF7ED8" w:rsidRDefault="00832153">
      <w:pPr>
        <w:jc w:val="both"/>
        <w:rPr>
          <w:rFonts w:cs="Arial"/>
          <w:sz w:val="22"/>
          <w:szCs w:val="22"/>
        </w:rPr>
      </w:pPr>
      <w:r>
        <w:rPr>
          <w:rFonts w:cs="Arial"/>
          <w:sz w:val="22"/>
          <w:szCs w:val="22"/>
        </w:rPr>
        <w:t>Inféodées à l'ordre sensible de l'organisation spatiale, les réalisations de Glibert sont littérales : elles ne laissent pa</w:t>
      </w:r>
      <w:r>
        <w:rPr>
          <w:rFonts w:cs="Arial"/>
          <w:sz w:val="22"/>
          <w:szCs w:val="22"/>
        </w:rPr>
        <w:t xml:space="preserve">s de place au symbolisme à valeur politique, morale, mémorielle, littéraire ou autres. Ce sont des anti-monuments qui ne doivent leur existence qu'à la justesse d'organisation de conventions formelles destinées à agir sur les utilisateurs d'un lieu. C'est </w:t>
      </w:r>
      <w:r>
        <w:rPr>
          <w:rFonts w:cs="Arial"/>
          <w:sz w:val="22"/>
          <w:szCs w:val="22"/>
        </w:rPr>
        <w:t>aussi un exemple rare de démarche artistique contemporaine susceptible d'être appréhendée par un individu sans connaissance préalable mais disposé à en ressentir la présence physique. Leur portée sociale déterminée par une volonté d'accès collectif à l'œuv</w:t>
      </w:r>
      <w:r>
        <w:rPr>
          <w:rFonts w:cs="Arial"/>
          <w:sz w:val="22"/>
          <w:szCs w:val="22"/>
        </w:rPr>
        <w:t>re d'art importe autant que leur impact sensoriel. L'intérêt de Glibert pour des interventions dans des lieux de travail le montre bien. Les utilisateurs peuvent s'exprimer, réagir, contester et se resituer au-delà même de son intervention.</w:t>
      </w:r>
    </w:p>
    <w:p w:rsidR="00DF7ED8" w:rsidRDefault="00DF7ED8">
      <w:pPr>
        <w:spacing w:after="160" w:line="259" w:lineRule="auto"/>
        <w:rPr>
          <w:rFonts w:cs="Arial"/>
          <w:sz w:val="22"/>
          <w:szCs w:val="22"/>
        </w:rPr>
      </w:pPr>
    </w:p>
    <w:p w:rsidR="00DF7ED8" w:rsidRDefault="00832153">
      <w:pPr>
        <w:spacing w:after="160" w:line="259" w:lineRule="auto"/>
        <w:jc w:val="center"/>
        <w:rPr>
          <w:rFonts w:cs="Arial"/>
          <w:sz w:val="22"/>
          <w:szCs w:val="22"/>
        </w:rPr>
      </w:pPr>
      <w:r>
        <w:rPr>
          <w:rFonts w:cs="Arial"/>
          <w:noProof/>
          <w:sz w:val="22"/>
          <w:szCs w:val="22"/>
          <w:lang w:val="fr-BE" w:eastAsia="fr-BE"/>
        </w:rPr>
        <w:drawing>
          <wp:inline distT="0" distB="0" distL="0" distR="0">
            <wp:extent cx="4282440" cy="2949028"/>
            <wp:effectExtent l="0" t="0" r="381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07454" cy="2966254"/>
                    </a:xfrm>
                    <a:prstGeom prst="rect">
                      <a:avLst/>
                    </a:prstGeom>
                    <a:noFill/>
                    <a:ln>
                      <a:noFill/>
                    </a:ln>
                  </pic:spPr>
                </pic:pic>
              </a:graphicData>
            </a:graphic>
          </wp:inline>
        </w:drawing>
      </w:r>
    </w:p>
    <w:p w:rsidR="00DF7ED8" w:rsidRDefault="00832153">
      <w:pPr>
        <w:jc w:val="center"/>
        <w:rPr>
          <w:rFonts w:cs="Arial"/>
          <w:color w:val="808080" w:themeColor="background1" w:themeShade="80"/>
          <w:sz w:val="18"/>
          <w:szCs w:val="18"/>
        </w:rPr>
      </w:pPr>
      <w:r>
        <w:rPr>
          <w:rFonts w:cs="Arial"/>
          <w:color w:val="808080" w:themeColor="background1" w:themeShade="80"/>
          <w:sz w:val="18"/>
          <w:szCs w:val="18"/>
        </w:rPr>
        <w:lastRenderedPageBreak/>
        <w:t xml:space="preserve">Plan de </w:t>
      </w:r>
      <w:r>
        <w:rPr>
          <w:rFonts w:cs="Arial"/>
          <w:color w:val="808080" w:themeColor="background1" w:themeShade="80"/>
          <w:sz w:val="18"/>
          <w:szCs w:val="18"/>
        </w:rPr>
        <w:t>l’exposition – BOZAR © Jean Glibert</w:t>
      </w:r>
      <w:bookmarkStart w:id="7" w:name="_Toc494977007"/>
    </w:p>
    <w:p w:rsidR="00DF7ED8" w:rsidRDefault="00832153">
      <w:pPr>
        <w:pStyle w:val="Titre1"/>
        <w:rPr>
          <w:rFonts w:asciiTheme="minorHAnsi" w:hAnsiTheme="minorHAnsi"/>
        </w:rPr>
      </w:pPr>
      <w:r>
        <w:rPr>
          <w:rFonts w:asciiTheme="minorHAnsi" w:hAnsiTheme="minorHAnsi"/>
        </w:rPr>
        <w:t>2. Biographie de Jean Glibert</w:t>
      </w:r>
      <w:bookmarkEnd w:id="7"/>
      <w:r>
        <w:rPr>
          <w:rFonts w:asciiTheme="minorHAnsi" w:hAnsiTheme="minorHAnsi"/>
        </w:rPr>
        <w:t xml:space="preserve"> </w:t>
      </w:r>
    </w:p>
    <w:p w:rsidR="00DF7ED8" w:rsidRDefault="00DF7ED8">
      <w:pPr>
        <w:pStyle w:val="Standard"/>
        <w:rPr>
          <w:rFonts w:asciiTheme="minorHAnsi" w:hAnsiTheme="minorHAnsi" w:cs="Arial"/>
          <w:sz w:val="22"/>
          <w:szCs w:val="22"/>
        </w:rPr>
      </w:pPr>
    </w:p>
    <w:p w:rsidR="00DF7ED8" w:rsidRDefault="00832153">
      <w:pPr>
        <w:pStyle w:val="Standard"/>
        <w:tabs>
          <w:tab w:val="left" w:pos="1701"/>
        </w:tabs>
        <w:ind w:left="1701" w:hanging="1701"/>
        <w:rPr>
          <w:rFonts w:asciiTheme="minorHAnsi" w:hAnsiTheme="minorHAnsi" w:cs="Arial"/>
          <w:sz w:val="22"/>
          <w:szCs w:val="22"/>
        </w:rPr>
      </w:pPr>
      <w:r>
        <w:rPr>
          <w:rFonts w:asciiTheme="minorHAnsi" w:hAnsiTheme="minorHAnsi" w:cs="Arial"/>
          <w:sz w:val="22"/>
          <w:szCs w:val="22"/>
        </w:rPr>
        <w:t xml:space="preserve">1975-1995 </w:t>
      </w:r>
      <w:r>
        <w:rPr>
          <w:rFonts w:asciiTheme="minorHAnsi" w:hAnsiTheme="minorHAnsi" w:cs="Arial"/>
          <w:sz w:val="22"/>
          <w:szCs w:val="22"/>
        </w:rPr>
        <w:tab/>
        <w:t>Professeur à l’École nationale supérieure des arts visuels (ENSAV) de la Cambre à Bruxelles : atelier d’Espaces urbains et ruraux</w:t>
      </w:r>
    </w:p>
    <w:p w:rsidR="00DF7ED8" w:rsidRDefault="00DF7ED8">
      <w:pPr>
        <w:pStyle w:val="Standard"/>
        <w:tabs>
          <w:tab w:val="left" w:pos="1701"/>
        </w:tabs>
        <w:rPr>
          <w:rFonts w:asciiTheme="minorHAnsi" w:hAnsiTheme="minorHAnsi" w:cs="Arial"/>
          <w:sz w:val="22"/>
          <w:szCs w:val="22"/>
        </w:rPr>
      </w:pPr>
    </w:p>
    <w:p w:rsidR="00DF7ED8" w:rsidRDefault="00DF7ED8">
      <w:pPr>
        <w:pStyle w:val="Standard"/>
        <w:tabs>
          <w:tab w:val="left" w:pos="1701"/>
        </w:tabs>
        <w:ind w:left="1701" w:hanging="1701"/>
        <w:rPr>
          <w:rFonts w:asciiTheme="minorHAnsi" w:hAnsiTheme="minorHAnsi" w:cs="Arial"/>
          <w:sz w:val="22"/>
          <w:szCs w:val="22"/>
        </w:rPr>
      </w:pPr>
    </w:p>
    <w:p w:rsidR="00DF7ED8" w:rsidRDefault="00832153">
      <w:pPr>
        <w:pStyle w:val="Standard"/>
        <w:tabs>
          <w:tab w:val="left" w:pos="1701"/>
        </w:tabs>
        <w:ind w:left="1701" w:hanging="1701"/>
        <w:jc w:val="center"/>
        <w:rPr>
          <w:rFonts w:asciiTheme="minorHAnsi" w:hAnsiTheme="minorHAnsi" w:cs="Arial"/>
          <w:sz w:val="22"/>
          <w:szCs w:val="22"/>
        </w:rPr>
      </w:pPr>
      <w:r>
        <w:rPr>
          <w:rFonts w:asciiTheme="minorHAnsi" w:hAnsiTheme="minorHAnsi" w:cs="Arial"/>
          <w:noProof/>
          <w:sz w:val="22"/>
          <w:szCs w:val="22"/>
        </w:rPr>
        <w:drawing>
          <wp:inline distT="0" distB="0" distL="0" distR="0">
            <wp:extent cx="2786380" cy="278638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86380" cy="2786380"/>
                    </a:xfrm>
                    <a:prstGeom prst="rect">
                      <a:avLst/>
                    </a:prstGeom>
                    <a:noFill/>
                  </pic:spPr>
                </pic:pic>
              </a:graphicData>
            </a:graphic>
          </wp:inline>
        </w:drawing>
      </w:r>
    </w:p>
    <w:p w:rsidR="00DF7ED8" w:rsidRDefault="00832153">
      <w:pPr>
        <w:pStyle w:val="Standard"/>
        <w:tabs>
          <w:tab w:val="left" w:pos="1701"/>
        </w:tabs>
        <w:ind w:left="1701" w:hanging="1701"/>
        <w:jc w:val="center"/>
        <w:rPr>
          <w:rFonts w:asciiTheme="minorHAnsi" w:hAnsiTheme="minorHAnsi" w:cs="Arial"/>
          <w:sz w:val="22"/>
          <w:szCs w:val="22"/>
        </w:rPr>
      </w:pPr>
      <w:r>
        <w:rPr>
          <w:rFonts w:asciiTheme="minorHAnsi" w:hAnsiTheme="minorHAnsi" w:cs="Arial"/>
          <w:sz w:val="22"/>
          <w:szCs w:val="22"/>
        </w:rPr>
        <w:t>Portrait de Jean Glibert © Christian Carez</w:t>
      </w:r>
    </w:p>
    <w:p w:rsidR="00DF7ED8" w:rsidRDefault="00DF7ED8">
      <w:pPr>
        <w:pStyle w:val="Standard"/>
        <w:tabs>
          <w:tab w:val="left" w:pos="1701"/>
        </w:tabs>
        <w:rPr>
          <w:rFonts w:asciiTheme="minorHAnsi" w:hAnsiTheme="minorHAnsi" w:cs="Arial"/>
          <w:sz w:val="22"/>
          <w:szCs w:val="22"/>
        </w:rPr>
      </w:pPr>
    </w:p>
    <w:p w:rsidR="00DF7ED8" w:rsidRDefault="00832153">
      <w:pPr>
        <w:pStyle w:val="Standard"/>
        <w:tabs>
          <w:tab w:val="left" w:pos="1985"/>
        </w:tabs>
        <w:rPr>
          <w:rFonts w:asciiTheme="minorHAnsi" w:hAnsiTheme="minorHAnsi" w:cs="Arial"/>
          <w:b/>
          <w:sz w:val="22"/>
          <w:szCs w:val="22"/>
        </w:rPr>
      </w:pPr>
      <w:r>
        <w:rPr>
          <w:rFonts w:asciiTheme="minorHAnsi" w:hAnsiTheme="minorHAnsi" w:cs="Arial"/>
          <w:b/>
          <w:sz w:val="22"/>
          <w:szCs w:val="22"/>
        </w:rPr>
        <w:t xml:space="preserve">Principales réalisations </w:t>
      </w:r>
    </w:p>
    <w:p w:rsidR="00DF7ED8" w:rsidRDefault="00832153">
      <w:pPr>
        <w:pStyle w:val="Standard"/>
        <w:tabs>
          <w:tab w:val="left" w:pos="1701"/>
        </w:tabs>
        <w:ind w:left="1701" w:hanging="1701"/>
        <w:rPr>
          <w:rFonts w:asciiTheme="minorHAnsi" w:hAnsiTheme="minorHAnsi" w:cs="Arial"/>
          <w:sz w:val="22"/>
          <w:szCs w:val="22"/>
        </w:rPr>
      </w:pPr>
      <w:r>
        <w:rPr>
          <w:rFonts w:asciiTheme="minorHAnsi" w:hAnsiTheme="minorHAnsi" w:cs="Arial"/>
          <w:sz w:val="22"/>
          <w:szCs w:val="22"/>
        </w:rPr>
        <w:t>2016</w:t>
      </w:r>
      <w:r>
        <w:rPr>
          <w:rFonts w:asciiTheme="minorHAnsi" w:hAnsiTheme="minorHAnsi" w:cs="Arial"/>
          <w:sz w:val="22"/>
          <w:szCs w:val="22"/>
        </w:rPr>
        <w:tab/>
        <w:t>Ring 9 de Charleroi, rénovation, Réservoir A - J. Fryns (en cours)</w:t>
      </w:r>
    </w:p>
    <w:p w:rsidR="00DF7ED8" w:rsidRDefault="00832153">
      <w:pPr>
        <w:pStyle w:val="Standard"/>
        <w:tabs>
          <w:tab w:val="left" w:pos="1701"/>
        </w:tabs>
        <w:ind w:left="1701" w:hanging="1701"/>
        <w:rPr>
          <w:rFonts w:asciiTheme="minorHAnsi" w:hAnsiTheme="minorHAnsi" w:cs="Arial"/>
          <w:sz w:val="22"/>
          <w:szCs w:val="22"/>
        </w:rPr>
      </w:pPr>
      <w:r>
        <w:rPr>
          <w:rFonts w:asciiTheme="minorHAnsi" w:hAnsiTheme="minorHAnsi" w:cs="Arial"/>
          <w:sz w:val="22"/>
          <w:szCs w:val="22"/>
        </w:rPr>
        <w:t>2015</w:t>
      </w:r>
      <w:r>
        <w:rPr>
          <w:rFonts w:asciiTheme="minorHAnsi" w:hAnsiTheme="minorHAnsi" w:cs="Arial"/>
          <w:sz w:val="22"/>
          <w:szCs w:val="22"/>
        </w:rPr>
        <w:tab/>
        <w:t>Logement et restaurant social à 1020 Bruxelles, Baumans-Deffet Architecture &amp; Urbanisme</w:t>
      </w:r>
    </w:p>
    <w:p w:rsidR="00DF7ED8" w:rsidRDefault="00832153">
      <w:pPr>
        <w:pStyle w:val="Standard"/>
        <w:tabs>
          <w:tab w:val="left" w:pos="1701"/>
        </w:tabs>
        <w:ind w:left="1701" w:hanging="1701"/>
        <w:rPr>
          <w:rFonts w:asciiTheme="minorHAnsi" w:hAnsiTheme="minorHAnsi" w:cs="Arial"/>
          <w:sz w:val="22"/>
          <w:szCs w:val="22"/>
        </w:rPr>
      </w:pPr>
      <w:r>
        <w:rPr>
          <w:rFonts w:asciiTheme="minorHAnsi" w:hAnsiTheme="minorHAnsi" w:cs="Arial"/>
          <w:sz w:val="22"/>
          <w:szCs w:val="22"/>
        </w:rPr>
        <w:t>2015</w:t>
      </w:r>
      <w:r>
        <w:rPr>
          <w:rFonts w:asciiTheme="minorHAnsi" w:hAnsiTheme="minorHAnsi" w:cs="Arial"/>
          <w:sz w:val="22"/>
          <w:szCs w:val="22"/>
        </w:rPr>
        <w:tab/>
        <w:t xml:space="preserve">Centre Keramis à La Louvière, AM Coton_DeVisscher - Lelion </w:t>
      </w:r>
      <w:r>
        <w:rPr>
          <w:rFonts w:asciiTheme="minorHAnsi" w:hAnsiTheme="minorHAnsi" w:cs="Arial"/>
          <w:sz w:val="22"/>
          <w:szCs w:val="22"/>
        </w:rPr>
        <w:t>- Nottebaert - Vincentelli</w:t>
      </w:r>
    </w:p>
    <w:p w:rsidR="00DF7ED8" w:rsidRDefault="00832153">
      <w:pPr>
        <w:pStyle w:val="Standard"/>
        <w:tabs>
          <w:tab w:val="left" w:pos="1701"/>
        </w:tabs>
        <w:ind w:left="1980" w:hanging="1980"/>
        <w:rPr>
          <w:rFonts w:asciiTheme="minorHAnsi" w:hAnsiTheme="minorHAnsi" w:cs="Arial"/>
          <w:sz w:val="22"/>
          <w:szCs w:val="22"/>
        </w:rPr>
      </w:pPr>
      <w:r>
        <w:rPr>
          <w:rFonts w:asciiTheme="minorHAnsi" w:hAnsiTheme="minorHAnsi" w:cs="Arial"/>
          <w:sz w:val="22"/>
          <w:szCs w:val="22"/>
        </w:rPr>
        <w:t>2014</w:t>
      </w:r>
      <w:r>
        <w:rPr>
          <w:rFonts w:asciiTheme="minorHAnsi" w:hAnsiTheme="minorHAnsi" w:cs="Arial"/>
          <w:sz w:val="22"/>
          <w:szCs w:val="22"/>
        </w:rPr>
        <w:tab/>
        <w:t>Intégration au BAM, Musée des Beaux-Arts de Mons</w:t>
      </w:r>
    </w:p>
    <w:p w:rsidR="00DF7ED8" w:rsidRDefault="00832153">
      <w:pPr>
        <w:pStyle w:val="Standard"/>
        <w:tabs>
          <w:tab w:val="left" w:pos="1701"/>
        </w:tabs>
        <w:ind w:left="1701" w:hanging="1701"/>
        <w:rPr>
          <w:rFonts w:asciiTheme="minorHAnsi" w:hAnsiTheme="minorHAnsi" w:cs="Arial"/>
          <w:sz w:val="22"/>
          <w:szCs w:val="22"/>
        </w:rPr>
      </w:pPr>
      <w:r>
        <w:rPr>
          <w:rFonts w:asciiTheme="minorHAnsi" w:hAnsiTheme="minorHAnsi" w:cs="Arial"/>
          <w:sz w:val="22"/>
          <w:szCs w:val="22"/>
        </w:rPr>
        <w:t>2013</w:t>
      </w:r>
      <w:r>
        <w:rPr>
          <w:rFonts w:asciiTheme="minorHAnsi" w:hAnsiTheme="minorHAnsi" w:cs="Arial"/>
          <w:sz w:val="22"/>
          <w:szCs w:val="22"/>
        </w:rPr>
        <w:tab/>
        <w:t>Écluse sur le canal Albert à Lanaye, Bureaux Greisch - Canevas</w:t>
      </w:r>
    </w:p>
    <w:p w:rsidR="00DF7ED8" w:rsidRDefault="00832153">
      <w:pPr>
        <w:pStyle w:val="Standard"/>
        <w:tabs>
          <w:tab w:val="left" w:pos="1701"/>
        </w:tabs>
        <w:ind w:left="1701" w:hanging="1701"/>
        <w:rPr>
          <w:rFonts w:asciiTheme="minorHAnsi" w:hAnsiTheme="minorHAnsi" w:cs="Arial"/>
          <w:sz w:val="22"/>
          <w:szCs w:val="22"/>
        </w:rPr>
      </w:pPr>
      <w:r>
        <w:rPr>
          <w:rFonts w:asciiTheme="minorHAnsi" w:hAnsiTheme="minorHAnsi" w:cs="Arial"/>
          <w:sz w:val="22"/>
          <w:szCs w:val="22"/>
        </w:rPr>
        <w:t>2013</w:t>
      </w:r>
      <w:r>
        <w:rPr>
          <w:rFonts w:asciiTheme="minorHAnsi" w:hAnsiTheme="minorHAnsi" w:cs="Arial"/>
          <w:sz w:val="22"/>
          <w:szCs w:val="22"/>
        </w:rPr>
        <w:tab/>
        <w:t>Amphithéâtres Opéra de l’Université de Liège, Dethier Architecture</w:t>
      </w:r>
    </w:p>
    <w:p w:rsidR="00DF7ED8" w:rsidRDefault="00832153">
      <w:pPr>
        <w:pStyle w:val="Standard"/>
        <w:tabs>
          <w:tab w:val="left" w:pos="1701"/>
        </w:tabs>
        <w:ind w:left="1701" w:hanging="1701"/>
        <w:rPr>
          <w:rFonts w:asciiTheme="minorHAnsi" w:hAnsiTheme="minorHAnsi" w:cs="Arial"/>
          <w:sz w:val="22"/>
          <w:szCs w:val="22"/>
        </w:rPr>
      </w:pPr>
      <w:r>
        <w:rPr>
          <w:rFonts w:asciiTheme="minorHAnsi" w:hAnsiTheme="minorHAnsi" w:cs="Arial"/>
          <w:sz w:val="22"/>
          <w:szCs w:val="22"/>
        </w:rPr>
        <w:t>2012</w:t>
      </w:r>
      <w:r>
        <w:rPr>
          <w:rFonts w:asciiTheme="minorHAnsi" w:hAnsiTheme="minorHAnsi" w:cs="Arial"/>
          <w:sz w:val="22"/>
          <w:szCs w:val="22"/>
        </w:rPr>
        <w:tab/>
        <w:t>Dépôt des œuvres d’art, Atelie</w:t>
      </w:r>
      <w:r>
        <w:rPr>
          <w:rFonts w:asciiTheme="minorHAnsi" w:hAnsiTheme="minorHAnsi" w:cs="Arial"/>
          <w:sz w:val="22"/>
          <w:szCs w:val="22"/>
        </w:rPr>
        <w:t>r d’architecture Pierre Hebbelinck - Pierre de Wit</w:t>
      </w:r>
    </w:p>
    <w:p w:rsidR="00DF7ED8" w:rsidRDefault="00832153">
      <w:pPr>
        <w:pStyle w:val="Standard"/>
        <w:tabs>
          <w:tab w:val="left" w:pos="1701"/>
        </w:tabs>
        <w:ind w:left="1980" w:hanging="1980"/>
        <w:rPr>
          <w:rFonts w:asciiTheme="minorHAnsi" w:hAnsiTheme="minorHAnsi" w:cs="Arial"/>
          <w:sz w:val="22"/>
          <w:szCs w:val="22"/>
        </w:rPr>
      </w:pPr>
      <w:r>
        <w:rPr>
          <w:rFonts w:asciiTheme="minorHAnsi" w:hAnsiTheme="minorHAnsi" w:cs="Arial"/>
          <w:sz w:val="22"/>
          <w:szCs w:val="22"/>
        </w:rPr>
        <w:t>2007</w:t>
      </w:r>
      <w:r>
        <w:rPr>
          <w:rFonts w:asciiTheme="minorHAnsi" w:hAnsiTheme="minorHAnsi" w:cs="Arial"/>
          <w:sz w:val="22"/>
          <w:szCs w:val="22"/>
        </w:rPr>
        <w:tab/>
        <w:t>Parking Patenier à Dinant, Bureaux Greisch - Canevas</w:t>
      </w:r>
    </w:p>
    <w:p w:rsidR="00DF7ED8" w:rsidRDefault="00832153">
      <w:pPr>
        <w:pStyle w:val="Standard"/>
        <w:tabs>
          <w:tab w:val="left" w:pos="1701"/>
        </w:tabs>
        <w:ind w:left="1701" w:hanging="1701"/>
        <w:rPr>
          <w:rFonts w:asciiTheme="minorHAnsi" w:hAnsiTheme="minorHAnsi" w:cs="Arial"/>
          <w:sz w:val="22"/>
          <w:szCs w:val="22"/>
        </w:rPr>
      </w:pPr>
      <w:r>
        <w:rPr>
          <w:rFonts w:asciiTheme="minorHAnsi" w:hAnsiTheme="minorHAnsi" w:cs="Arial"/>
          <w:sz w:val="22"/>
          <w:szCs w:val="22"/>
        </w:rPr>
        <w:t>2006</w:t>
      </w:r>
      <w:r>
        <w:rPr>
          <w:rFonts w:asciiTheme="minorHAnsi" w:hAnsiTheme="minorHAnsi" w:cs="Arial"/>
          <w:sz w:val="22"/>
          <w:szCs w:val="22"/>
        </w:rPr>
        <w:tab/>
        <w:t>Centre interdiocésain Maisin à Bruxelles, architectesassoc.</w:t>
      </w:r>
    </w:p>
    <w:p w:rsidR="00DF7ED8" w:rsidRDefault="00832153">
      <w:pPr>
        <w:pStyle w:val="Standard"/>
        <w:tabs>
          <w:tab w:val="left" w:pos="1701"/>
        </w:tabs>
        <w:ind w:left="1980" w:hanging="1980"/>
        <w:rPr>
          <w:rFonts w:asciiTheme="minorHAnsi" w:hAnsiTheme="minorHAnsi" w:cs="Arial"/>
          <w:sz w:val="22"/>
          <w:szCs w:val="22"/>
        </w:rPr>
      </w:pPr>
      <w:r>
        <w:rPr>
          <w:rFonts w:asciiTheme="minorHAnsi" w:hAnsiTheme="minorHAnsi" w:cs="Arial"/>
          <w:sz w:val="22"/>
          <w:szCs w:val="22"/>
        </w:rPr>
        <w:t>2006</w:t>
      </w:r>
      <w:r>
        <w:rPr>
          <w:rFonts w:asciiTheme="minorHAnsi" w:hAnsiTheme="minorHAnsi" w:cs="Arial"/>
          <w:sz w:val="22"/>
          <w:szCs w:val="22"/>
        </w:rPr>
        <w:tab/>
        <w:t>Parking Récollets à Ath, Canevas</w:t>
      </w:r>
    </w:p>
    <w:p w:rsidR="00DF7ED8" w:rsidRDefault="00832153">
      <w:pPr>
        <w:pStyle w:val="Standard"/>
        <w:tabs>
          <w:tab w:val="left" w:pos="1701"/>
        </w:tabs>
        <w:ind w:left="1980" w:hanging="1980"/>
        <w:rPr>
          <w:rFonts w:asciiTheme="minorHAnsi" w:hAnsiTheme="minorHAnsi" w:cs="Arial"/>
          <w:sz w:val="22"/>
          <w:szCs w:val="22"/>
        </w:rPr>
      </w:pPr>
      <w:r>
        <w:rPr>
          <w:rFonts w:asciiTheme="minorHAnsi" w:hAnsiTheme="minorHAnsi" w:cs="Arial"/>
          <w:sz w:val="22"/>
          <w:szCs w:val="22"/>
        </w:rPr>
        <w:t>2004</w:t>
      </w:r>
      <w:r>
        <w:rPr>
          <w:rFonts w:asciiTheme="minorHAnsi" w:hAnsiTheme="minorHAnsi" w:cs="Arial"/>
          <w:sz w:val="22"/>
          <w:szCs w:val="22"/>
        </w:rPr>
        <w:tab/>
        <w:t>Immeuble Belmont Court à Bruxelles, arc</w:t>
      </w:r>
      <w:r>
        <w:rPr>
          <w:rFonts w:asciiTheme="minorHAnsi" w:hAnsiTheme="minorHAnsi" w:cs="Arial"/>
          <w:sz w:val="22"/>
          <w:szCs w:val="22"/>
        </w:rPr>
        <w:t>hitectesassoc.</w:t>
      </w:r>
    </w:p>
    <w:p w:rsidR="00DF7ED8" w:rsidRDefault="00832153">
      <w:pPr>
        <w:pStyle w:val="Standard"/>
        <w:tabs>
          <w:tab w:val="left" w:pos="1701"/>
        </w:tabs>
        <w:ind w:left="1980" w:hanging="1980"/>
        <w:rPr>
          <w:rFonts w:asciiTheme="minorHAnsi" w:hAnsiTheme="minorHAnsi" w:cs="Arial"/>
          <w:sz w:val="22"/>
          <w:szCs w:val="22"/>
        </w:rPr>
      </w:pPr>
      <w:r>
        <w:rPr>
          <w:rFonts w:asciiTheme="minorHAnsi" w:hAnsiTheme="minorHAnsi" w:cs="Arial"/>
          <w:sz w:val="22"/>
          <w:szCs w:val="22"/>
        </w:rPr>
        <w:t>2004</w:t>
      </w:r>
      <w:r>
        <w:rPr>
          <w:rFonts w:asciiTheme="minorHAnsi" w:hAnsiTheme="minorHAnsi" w:cs="Arial"/>
          <w:sz w:val="22"/>
          <w:szCs w:val="22"/>
        </w:rPr>
        <w:tab/>
        <w:t>Parlement de la Communauté Française à Bruxelles</w:t>
      </w:r>
    </w:p>
    <w:p w:rsidR="00DF7ED8" w:rsidRDefault="00832153">
      <w:pPr>
        <w:pStyle w:val="Standard"/>
        <w:tabs>
          <w:tab w:val="left" w:pos="1701"/>
        </w:tabs>
        <w:ind w:left="1980" w:hanging="1980"/>
        <w:rPr>
          <w:rFonts w:asciiTheme="minorHAnsi" w:hAnsiTheme="minorHAnsi" w:cs="Arial"/>
          <w:sz w:val="22"/>
          <w:szCs w:val="22"/>
        </w:rPr>
      </w:pPr>
      <w:r>
        <w:rPr>
          <w:rFonts w:asciiTheme="minorHAnsi" w:hAnsiTheme="minorHAnsi" w:cs="Arial"/>
          <w:sz w:val="22"/>
          <w:szCs w:val="22"/>
        </w:rPr>
        <w:t>2003</w:t>
      </w:r>
      <w:r>
        <w:rPr>
          <w:rFonts w:asciiTheme="minorHAnsi" w:hAnsiTheme="minorHAnsi" w:cs="Arial"/>
          <w:sz w:val="22"/>
          <w:szCs w:val="22"/>
        </w:rPr>
        <w:tab/>
        <w:t>Poste électrique Pouplin à Liège, Dethier Architecture</w:t>
      </w:r>
    </w:p>
    <w:p w:rsidR="00DF7ED8" w:rsidRDefault="00832153">
      <w:pPr>
        <w:pStyle w:val="Standard"/>
        <w:tabs>
          <w:tab w:val="left" w:pos="1701"/>
        </w:tabs>
        <w:ind w:left="1701" w:hanging="1701"/>
        <w:rPr>
          <w:rFonts w:asciiTheme="minorHAnsi" w:hAnsiTheme="minorHAnsi" w:cs="Arial"/>
          <w:sz w:val="22"/>
          <w:szCs w:val="22"/>
        </w:rPr>
      </w:pPr>
      <w:r>
        <w:rPr>
          <w:rFonts w:asciiTheme="minorHAnsi" w:hAnsiTheme="minorHAnsi" w:cs="Arial"/>
          <w:sz w:val="22"/>
          <w:szCs w:val="22"/>
        </w:rPr>
        <w:t>2004/2006</w:t>
      </w:r>
      <w:r>
        <w:rPr>
          <w:rFonts w:asciiTheme="minorHAnsi" w:hAnsiTheme="minorHAnsi" w:cs="Arial"/>
          <w:sz w:val="22"/>
          <w:szCs w:val="22"/>
        </w:rPr>
        <w:tab/>
        <w:t>Collège Saint-Benoit Saint-Servais à Liège, ARTAU Architecture</w:t>
      </w:r>
    </w:p>
    <w:p w:rsidR="00DF7ED8" w:rsidRDefault="00832153">
      <w:pPr>
        <w:pStyle w:val="Standard"/>
        <w:tabs>
          <w:tab w:val="left" w:pos="1701"/>
        </w:tabs>
        <w:ind w:left="1701" w:hanging="1701"/>
        <w:rPr>
          <w:rFonts w:asciiTheme="minorHAnsi" w:hAnsiTheme="minorHAnsi" w:cs="Arial"/>
          <w:sz w:val="22"/>
          <w:szCs w:val="22"/>
        </w:rPr>
      </w:pPr>
      <w:r>
        <w:rPr>
          <w:rFonts w:asciiTheme="minorHAnsi" w:hAnsiTheme="minorHAnsi" w:cs="Arial"/>
          <w:sz w:val="22"/>
          <w:szCs w:val="22"/>
        </w:rPr>
        <w:t>2003</w:t>
      </w:r>
      <w:r>
        <w:rPr>
          <w:rFonts w:asciiTheme="minorHAnsi" w:hAnsiTheme="minorHAnsi" w:cs="Arial"/>
          <w:sz w:val="22"/>
          <w:szCs w:val="22"/>
        </w:rPr>
        <w:tab/>
        <w:t>Hall multifonctionnel - Archives de l’Etat à Mons</w:t>
      </w:r>
      <w:r>
        <w:rPr>
          <w:rFonts w:asciiTheme="minorHAnsi" w:hAnsiTheme="minorHAnsi" w:cs="Arial"/>
          <w:sz w:val="22"/>
          <w:szCs w:val="22"/>
        </w:rPr>
        <w:t>, Bureaux Greisch - Canevas</w:t>
      </w:r>
    </w:p>
    <w:p w:rsidR="00DF7ED8" w:rsidRDefault="00832153">
      <w:pPr>
        <w:pStyle w:val="Standard"/>
        <w:tabs>
          <w:tab w:val="left" w:pos="1701"/>
        </w:tabs>
        <w:ind w:left="1701" w:hanging="1701"/>
        <w:rPr>
          <w:rFonts w:asciiTheme="minorHAnsi" w:hAnsiTheme="minorHAnsi" w:cs="Arial"/>
          <w:sz w:val="22"/>
          <w:szCs w:val="22"/>
        </w:rPr>
      </w:pPr>
      <w:r>
        <w:rPr>
          <w:rFonts w:asciiTheme="minorHAnsi" w:hAnsiTheme="minorHAnsi" w:cs="Arial"/>
          <w:sz w:val="22"/>
          <w:szCs w:val="22"/>
        </w:rPr>
        <w:t>2003</w:t>
      </w:r>
      <w:r>
        <w:rPr>
          <w:rFonts w:asciiTheme="minorHAnsi" w:hAnsiTheme="minorHAnsi" w:cs="Arial"/>
          <w:sz w:val="22"/>
          <w:szCs w:val="22"/>
        </w:rPr>
        <w:tab/>
        <w:t>Viaduc de la Gare du Midi et Jonction Midi-Chapelle à Bruxelles</w:t>
      </w:r>
    </w:p>
    <w:p w:rsidR="00DF7ED8" w:rsidRDefault="00832153">
      <w:pPr>
        <w:jc w:val="both"/>
        <w:rPr>
          <w:rFonts w:cs="Arial"/>
          <w:sz w:val="22"/>
          <w:szCs w:val="22"/>
        </w:rPr>
      </w:pPr>
      <w:r>
        <w:rPr>
          <w:rFonts w:cs="Arial"/>
          <w:sz w:val="22"/>
          <w:szCs w:val="22"/>
        </w:rPr>
        <w:t>2001</w:t>
      </w:r>
      <w:r>
        <w:rPr>
          <w:rFonts w:cs="Arial"/>
          <w:sz w:val="22"/>
          <w:szCs w:val="22"/>
        </w:rPr>
        <w:tab/>
      </w:r>
      <w:r>
        <w:rPr>
          <w:rFonts w:cs="Arial"/>
          <w:sz w:val="22"/>
          <w:szCs w:val="22"/>
        </w:rPr>
        <w:tab/>
        <w:t xml:space="preserve">     Viaduc de Cointe à Liège, INOV</w:t>
      </w:r>
    </w:p>
    <w:p w:rsidR="00DF7ED8" w:rsidRDefault="00832153">
      <w:pPr>
        <w:jc w:val="both"/>
        <w:rPr>
          <w:rFonts w:cs="Arial"/>
          <w:sz w:val="22"/>
          <w:szCs w:val="22"/>
        </w:rPr>
      </w:pPr>
      <w:r>
        <w:rPr>
          <w:rFonts w:cs="Arial"/>
          <w:sz w:val="22"/>
          <w:szCs w:val="22"/>
        </w:rPr>
        <w:t>2000</w:t>
      </w:r>
      <w:r>
        <w:rPr>
          <w:rFonts w:cs="Arial"/>
          <w:sz w:val="22"/>
          <w:szCs w:val="22"/>
        </w:rPr>
        <w:tab/>
      </w:r>
      <w:r>
        <w:rPr>
          <w:rFonts w:cs="Arial"/>
          <w:sz w:val="22"/>
          <w:szCs w:val="22"/>
        </w:rPr>
        <w:tab/>
        <w:t xml:space="preserve">      Hôtel Desoër à Liège</w:t>
      </w:r>
    </w:p>
    <w:p w:rsidR="00DF7ED8" w:rsidRDefault="00832153">
      <w:pPr>
        <w:ind w:left="1701" w:hanging="1701"/>
        <w:jc w:val="both"/>
        <w:rPr>
          <w:rFonts w:cs="Arial"/>
          <w:sz w:val="22"/>
          <w:szCs w:val="22"/>
        </w:rPr>
      </w:pPr>
      <w:r>
        <w:rPr>
          <w:rFonts w:cs="Arial"/>
          <w:sz w:val="22"/>
          <w:szCs w:val="22"/>
        </w:rPr>
        <w:t>1996</w:t>
      </w:r>
      <w:r>
        <w:rPr>
          <w:rFonts w:cs="Arial"/>
          <w:sz w:val="22"/>
          <w:szCs w:val="22"/>
        </w:rPr>
        <w:tab/>
        <w:t>Hall Brucall pour la SRIB à Bruxelles, Atelier de Visscher et associés</w:t>
      </w:r>
    </w:p>
    <w:p w:rsidR="00DF7ED8" w:rsidRDefault="00832153">
      <w:pPr>
        <w:ind w:left="1701" w:hanging="1701"/>
        <w:jc w:val="both"/>
        <w:rPr>
          <w:rFonts w:cs="Arial"/>
          <w:sz w:val="22"/>
          <w:szCs w:val="22"/>
        </w:rPr>
      </w:pPr>
      <w:r>
        <w:rPr>
          <w:rFonts w:cs="Arial"/>
          <w:sz w:val="22"/>
          <w:szCs w:val="22"/>
        </w:rPr>
        <w:t>1993/1997/2009 Immeubles SRIB à Bruxelles, Atelier De Visscher et associés</w:t>
      </w:r>
    </w:p>
    <w:p w:rsidR="00DF7ED8" w:rsidRDefault="00832153">
      <w:pPr>
        <w:pStyle w:val="Standard"/>
        <w:tabs>
          <w:tab w:val="left" w:pos="1701"/>
        </w:tabs>
        <w:ind w:left="1701" w:hanging="1701"/>
        <w:rPr>
          <w:rFonts w:asciiTheme="minorHAnsi" w:hAnsiTheme="minorHAnsi" w:cs="Arial"/>
          <w:sz w:val="22"/>
          <w:szCs w:val="22"/>
        </w:rPr>
      </w:pPr>
      <w:r>
        <w:rPr>
          <w:rFonts w:asciiTheme="minorHAnsi" w:hAnsiTheme="minorHAnsi" w:cs="Arial"/>
          <w:sz w:val="22"/>
          <w:szCs w:val="22"/>
        </w:rPr>
        <w:t>1999</w:t>
      </w:r>
      <w:r>
        <w:rPr>
          <w:rFonts w:asciiTheme="minorHAnsi" w:hAnsiTheme="minorHAnsi" w:cs="Arial"/>
          <w:sz w:val="22"/>
          <w:szCs w:val="22"/>
        </w:rPr>
        <w:tab/>
        <w:t>Îlot Saint-Michel à Liège, Claude Strebelle (coordinateur)</w:t>
      </w:r>
    </w:p>
    <w:p w:rsidR="00DF7ED8" w:rsidRDefault="00832153">
      <w:pPr>
        <w:pStyle w:val="Standard"/>
        <w:tabs>
          <w:tab w:val="left" w:pos="1701"/>
        </w:tabs>
        <w:ind w:left="1701" w:hanging="1701"/>
        <w:rPr>
          <w:rFonts w:asciiTheme="minorHAnsi" w:hAnsiTheme="minorHAnsi" w:cs="Arial"/>
          <w:sz w:val="22"/>
          <w:szCs w:val="22"/>
        </w:rPr>
      </w:pPr>
      <w:r>
        <w:rPr>
          <w:rFonts w:asciiTheme="minorHAnsi" w:hAnsiTheme="minorHAnsi" w:cs="Arial"/>
          <w:sz w:val="22"/>
          <w:szCs w:val="22"/>
        </w:rPr>
        <w:t>1985</w:t>
      </w:r>
      <w:r>
        <w:rPr>
          <w:rFonts w:asciiTheme="minorHAnsi" w:hAnsiTheme="minorHAnsi" w:cs="Arial"/>
          <w:sz w:val="22"/>
          <w:szCs w:val="22"/>
        </w:rPr>
        <w:tab/>
        <w:t>Maternité Princesse Astrid de l’Hôpital civil de Charleroi, Hoet + Minne et -Dooms</w:t>
      </w:r>
    </w:p>
    <w:p w:rsidR="00DF7ED8" w:rsidRDefault="00832153">
      <w:pPr>
        <w:pStyle w:val="Standard"/>
        <w:tabs>
          <w:tab w:val="left" w:pos="1701"/>
        </w:tabs>
        <w:ind w:left="1980" w:hanging="1980"/>
        <w:rPr>
          <w:rFonts w:asciiTheme="minorHAnsi" w:hAnsiTheme="minorHAnsi" w:cs="Arial"/>
          <w:sz w:val="22"/>
          <w:szCs w:val="22"/>
        </w:rPr>
      </w:pPr>
      <w:r>
        <w:rPr>
          <w:rFonts w:asciiTheme="minorHAnsi" w:hAnsiTheme="minorHAnsi" w:cs="Arial"/>
          <w:sz w:val="22"/>
          <w:szCs w:val="22"/>
        </w:rPr>
        <w:lastRenderedPageBreak/>
        <w:t>1981</w:t>
      </w:r>
      <w:r>
        <w:rPr>
          <w:rFonts w:asciiTheme="minorHAnsi" w:hAnsiTheme="minorHAnsi" w:cs="Arial"/>
          <w:sz w:val="22"/>
          <w:szCs w:val="22"/>
        </w:rPr>
        <w:tab/>
        <w:t>Maternité Fondation Baro</w:t>
      </w:r>
      <w:r>
        <w:rPr>
          <w:rFonts w:asciiTheme="minorHAnsi" w:hAnsiTheme="minorHAnsi" w:cs="Arial"/>
          <w:sz w:val="22"/>
          <w:szCs w:val="22"/>
        </w:rPr>
        <w:t>n Lambert</w:t>
      </w:r>
    </w:p>
    <w:p w:rsidR="00DF7ED8" w:rsidRDefault="00832153">
      <w:pPr>
        <w:pStyle w:val="Standard"/>
        <w:tabs>
          <w:tab w:val="left" w:pos="1701"/>
        </w:tabs>
        <w:ind w:left="1980" w:hanging="1980"/>
        <w:rPr>
          <w:rFonts w:asciiTheme="minorHAnsi" w:hAnsiTheme="minorHAnsi" w:cs="Arial"/>
          <w:sz w:val="22"/>
          <w:szCs w:val="22"/>
        </w:rPr>
      </w:pPr>
      <w:r>
        <w:rPr>
          <w:rFonts w:asciiTheme="minorHAnsi" w:hAnsiTheme="minorHAnsi" w:cs="Arial"/>
          <w:sz w:val="22"/>
          <w:szCs w:val="22"/>
        </w:rPr>
        <w:t>1976-1997</w:t>
      </w:r>
      <w:r>
        <w:rPr>
          <w:rFonts w:asciiTheme="minorHAnsi" w:hAnsiTheme="minorHAnsi" w:cs="Arial"/>
          <w:sz w:val="22"/>
          <w:szCs w:val="22"/>
        </w:rPr>
        <w:tab/>
        <w:t>Station de métro Merode à Bruxelles</w:t>
      </w:r>
    </w:p>
    <w:p w:rsidR="00DF7ED8" w:rsidRDefault="00DF7ED8">
      <w:pPr>
        <w:pStyle w:val="Standard"/>
        <w:tabs>
          <w:tab w:val="left" w:pos="1701"/>
        </w:tabs>
        <w:ind w:left="1980" w:hanging="1980"/>
        <w:rPr>
          <w:rFonts w:asciiTheme="minorHAnsi" w:hAnsiTheme="minorHAnsi" w:cs="Arial"/>
          <w:sz w:val="22"/>
          <w:szCs w:val="22"/>
        </w:rPr>
      </w:pPr>
    </w:p>
    <w:p w:rsidR="00DF7ED8" w:rsidRDefault="00832153">
      <w:pPr>
        <w:pStyle w:val="Standard"/>
        <w:tabs>
          <w:tab w:val="left" w:pos="1701"/>
        </w:tabs>
        <w:ind w:left="1980" w:hanging="1980"/>
        <w:rPr>
          <w:rFonts w:asciiTheme="minorHAnsi" w:hAnsiTheme="minorHAnsi" w:cs="Arial"/>
          <w:b/>
          <w:sz w:val="22"/>
          <w:szCs w:val="22"/>
        </w:rPr>
      </w:pPr>
      <w:r>
        <w:rPr>
          <w:rFonts w:asciiTheme="minorHAnsi" w:hAnsiTheme="minorHAnsi" w:cs="Arial"/>
          <w:b/>
          <w:sz w:val="22"/>
          <w:szCs w:val="22"/>
        </w:rPr>
        <w:t>Expositions collectives et personnelles (sélection)</w:t>
      </w:r>
    </w:p>
    <w:p w:rsidR="00DF7ED8" w:rsidRDefault="00DF7ED8">
      <w:pPr>
        <w:pStyle w:val="Standard"/>
        <w:tabs>
          <w:tab w:val="left" w:pos="1701"/>
        </w:tabs>
        <w:ind w:left="1980" w:hanging="1980"/>
        <w:rPr>
          <w:rFonts w:asciiTheme="minorHAnsi" w:hAnsiTheme="minorHAnsi" w:cs="Arial"/>
          <w:b/>
          <w:sz w:val="22"/>
          <w:szCs w:val="22"/>
        </w:rPr>
      </w:pPr>
    </w:p>
    <w:p w:rsidR="00DF7ED8" w:rsidRDefault="00832153">
      <w:pPr>
        <w:pStyle w:val="Standard"/>
        <w:tabs>
          <w:tab w:val="left" w:pos="1701"/>
        </w:tabs>
        <w:ind w:left="1701" w:hanging="1701"/>
        <w:rPr>
          <w:rFonts w:asciiTheme="minorHAnsi" w:hAnsiTheme="minorHAnsi" w:cs="Arial"/>
          <w:sz w:val="22"/>
          <w:szCs w:val="22"/>
        </w:rPr>
      </w:pPr>
      <w:r>
        <w:rPr>
          <w:rFonts w:asciiTheme="minorHAnsi" w:hAnsiTheme="minorHAnsi" w:cs="Arial"/>
          <w:sz w:val="22"/>
          <w:szCs w:val="22"/>
        </w:rPr>
        <w:t>2018</w:t>
      </w:r>
      <w:r>
        <w:rPr>
          <w:rFonts w:asciiTheme="minorHAnsi" w:hAnsiTheme="minorHAnsi" w:cs="Arial"/>
          <w:sz w:val="22"/>
          <w:szCs w:val="22"/>
        </w:rPr>
        <w:tab/>
      </w:r>
      <w:r>
        <w:rPr>
          <w:rFonts w:asciiTheme="minorHAnsi" w:hAnsiTheme="minorHAnsi" w:cs="Arial"/>
          <w:i/>
          <w:sz w:val="22"/>
          <w:szCs w:val="22"/>
        </w:rPr>
        <w:t xml:space="preserve">Ann Veronica Janssens &amp; Jean Glibert."Albedo", </w:t>
      </w:r>
      <w:r>
        <w:rPr>
          <w:rFonts w:asciiTheme="minorHAnsi" w:hAnsiTheme="minorHAnsi" w:cs="Arial"/>
          <w:sz w:val="22"/>
          <w:szCs w:val="22"/>
        </w:rPr>
        <w:t xml:space="preserve">MAC’s (Musée des arts contemporains de la Fédération Wallonie-Bruxelles), Hornu </w:t>
      </w:r>
    </w:p>
    <w:p w:rsidR="00DF7ED8" w:rsidRDefault="00832153">
      <w:pPr>
        <w:tabs>
          <w:tab w:val="left" w:pos="1701"/>
        </w:tabs>
        <w:ind w:left="1695" w:hanging="1695"/>
        <w:jc w:val="both"/>
        <w:rPr>
          <w:rFonts w:cs="Arial"/>
          <w:sz w:val="22"/>
          <w:szCs w:val="22"/>
        </w:rPr>
      </w:pPr>
      <w:r>
        <w:rPr>
          <w:rFonts w:cs="Arial"/>
          <w:sz w:val="22"/>
          <w:szCs w:val="22"/>
        </w:rPr>
        <w:t>2017</w:t>
      </w:r>
      <w:r>
        <w:rPr>
          <w:rFonts w:cs="Arial"/>
          <w:sz w:val="22"/>
          <w:szCs w:val="22"/>
        </w:rPr>
        <w:tab/>
      </w:r>
      <w:r>
        <w:rPr>
          <w:rFonts w:cs="Arial"/>
          <w:i/>
          <w:sz w:val="22"/>
          <w:szCs w:val="22"/>
        </w:rPr>
        <w:t>Jean Gli</w:t>
      </w:r>
      <w:r>
        <w:rPr>
          <w:rFonts w:cs="Arial"/>
          <w:i/>
          <w:sz w:val="22"/>
          <w:szCs w:val="22"/>
        </w:rPr>
        <w:t>bert. Peintre en bâtiment</w:t>
      </w:r>
      <w:r>
        <w:rPr>
          <w:rFonts w:cs="Arial"/>
          <w:sz w:val="22"/>
          <w:szCs w:val="22"/>
        </w:rPr>
        <w:t>, Palais des Beaux-Arts, Bruxelles</w:t>
      </w:r>
    </w:p>
    <w:p w:rsidR="00DF7ED8" w:rsidRDefault="00832153">
      <w:pPr>
        <w:tabs>
          <w:tab w:val="left" w:pos="1701"/>
        </w:tabs>
        <w:jc w:val="both"/>
        <w:rPr>
          <w:rFonts w:cs="Arial"/>
          <w:sz w:val="22"/>
          <w:szCs w:val="22"/>
        </w:rPr>
      </w:pPr>
      <w:r>
        <w:rPr>
          <w:rFonts w:cs="Arial"/>
          <w:sz w:val="22"/>
          <w:szCs w:val="22"/>
        </w:rPr>
        <w:tab/>
      </w:r>
      <w:r>
        <w:rPr>
          <w:rFonts w:cs="Arial"/>
          <w:i/>
          <w:sz w:val="22"/>
          <w:szCs w:val="22"/>
        </w:rPr>
        <w:t>Pierre-Jean-Peter</w:t>
      </w:r>
      <w:r>
        <w:rPr>
          <w:rFonts w:cs="Arial"/>
          <w:sz w:val="22"/>
          <w:szCs w:val="22"/>
        </w:rPr>
        <w:t>, Galerie Quai4, Liège</w:t>
      </w:r>
    </w:p>
    <w:p w:rsidR="00DF7ED8" w:rsidRDefault="00832153">
      <w:pPr>
        <w:pStyle w:val="Standard"/>
        <w:tabs>
          <w:tab w:val="left" w:pos="1701"/>
        </w:tabs>
        <w:ind w:left="1980" w:hanging="1980"/>
        <w:rPr>
          <w:rFonts w:asciiTheme="minorHAnsi" w:hAnsiTheme="minorHAnsi" w:cs="Arial"/>
          <w:sz w:val="22"/>
          <w:szCs w:val="22"/>
        </w:rPr>
      </w:pPr>
      <w:r>
        <w:rPr>
          <w:rFonts w:asciiTheme="minorHAnsi" w:hAnsiTheme="minorHAnsi" w:cs="Arial"/>
          <w:sz w:val="22"/>
          <w:szCs w:val="22"/>
        </w:rPr>
        <w:t>2015</w:t>
      </w:r>
      <w:r>
        <w:rPr>
          <w:rFonts w:asciiTheme="minorHAnsi" w:hAnsiTheme="minorHAnsi" w:cs="Arial"/>
          <w:sz w:val="22"/>
          <w:szCs w:val="22"/>
        </w:rPr>
        <w:tab/>
      </w:r>
      <w:r>
        <w:rPr>
          <w:rFonts w:asciiTheme="minorHAnsi" w:hAnsiTheme="minorHAnsi" w:cs="Arial"/>
          <w:i/>
          <w:sz w:val="22"/>
          <w:szCs w:val="22"/>
        </w:rPr>
        <w:t>Jean Glibert–Travaux sur papier</w:t>
      </w:r>
      <w:r>
        <w:rPr>
          <w:rFonts w:asciiTheme="minorHAnsi" w:hAnsiTheme="minorHAnsi" w:cs="Arial"/>
          <w:sz w:val="22"/>
          <w:szCs w:val="22"/>
        </w:rPr>
        <w:t>, Galerie Détour, Jambes</w:t>
      </w:r>
    </w:p>
    <w:p w:rsidR="00DF7ED8" w:rsidRDefault="00832153">
      <w:pPr>
        <w:pStyle w:val="Standard"/>
        <w:tabs>
          <w:tab w:val="left" w:pos="1701"/>
        </w:tabs>
        <w:ind w:left="1980" w:hanging="1980"/>
        <w:rPr>
          <w:rFonts w:asciiTheme="minorHAnsi" w:hAnsiTheme="minorHAnsi" w:cs="Arial"/>
          <w:sz w:val="22"/>
          <w:szCs w:val="22"/>
        </w:rPr>
      </w:pPr>
      <w:r>
        <w:rPr>
          <w:rFonts w:asciiTheme="minorHAnsi" w:hAnsiTheme="minorHAnsi" w:cs="Arial"/>
          <w:sz w:val="22"/>
          <w:szCs w:val="22"/>
        </w:rPr>
        <w:t>2014</w:t>
      </w:r>
      <w:r>
        <w:rPr>
          <w:rFonts w:asciiTheme="minorHAnsi" w:hAnsiTheme="minorHAnsi" w:cs="Arial"/>
          <w:sz w:val="22"/>
          <w:szCs w:val="22"/>
        </w:rPr>
        <w:tab/>
      </w:r>
      <w:r>
        <w:rPr>
          <w:rFonts w:asciiTheme="minorHAnsi" w:hAnsiTheme="minorHAnsi" w:cs="Arial"/>
          <w:i/>
          <w:sz w:val="22"/>
          <w:szCs w:val="22"/>
        </w:rPr>
        <w:t>Peintures</w:t>
      </w:r>
      <w:r>
        <w:rPr>
          <w:rFonts w:asciiTheme="minorHAnsi" w:hAnsiTheme="minorHAnsi" w:cs="Arial"/>
          <w:sz w:val="22"/>
          <w:szCs w:val="22"/>
        </w:rPr>
        <w:t>, Espace 251 Nord, Liège</w:t>
      </w:r>
    </w:p>
    <w:p w:rsidR="00DF7ED8" w:rsidRDefault="00832153">
      <w:pPr>
        <w:pStyle w:val="Standard"/>
        <w:tabs>
          <w:tab w:val="left" w:pos="1701"/>
        </w:tabs>
        <w:ind w:left="1695" w:hanging="1695"/>
        <w:rPr>
          <w:rFonts w:asciiTheme="minorHAnsi" w:hAnsiTheme="minorHAnsi" w:cs="Arial"/>
          <w:sz w:val="22"/>
          <w:szCs w:val="22"/>
        </w:rPr>
      </w:pPr>
      <w:r>
        <w:rPr>
          <w:rFonts w:asciiTheme="minorHAnsi" w:hAnsiTheme="minorHAnsi" w:cs="Arial"/>
          <w:sz w:val="22"/>
          <w:szCs w:val="22"/>
        </w:rPr>
        <w:t>2012</w:t>
      </w:r>
      <w:r>
        <w:rPr>
          <w:rFonts w:asciiTheme="minorHAnsi" w:hAnsiTheme="minorHAnsi" w:cs="Arial"/>
          <w:sz w:val="22"/>
          <w:szCs w:val="22"/>
        </w:rPr>
        <w:tab/>
      </w:r>
      <w:r>
        <w:rPr>
          <w:rFonts w:asciiTheme="minorHAnsi" w:hAnsiTheme="minorHAnsi" w:cs="Arial"/>
          <w:i/>
          <w:sz w:val="22"/>
          <w:szCs w:val="22"/>
        </w:rPr>
        <w:t>Abstraction-Matière et Contingences</w:t>
      </w:r>
      <w:r>
        <w:rPr>
          <w:rFonts w:asciiTheme="minorHAnsi" w:hAnsiTheme="minorHAnsi" w:cs="Arial"/>
          <w:sz w:val="22"/>
          <w:szCs w:val="22"/>
        </w:rPr>
        <w:t>, Galerie Blanc</w:t>
      </w:r>
      <w:r>
        <w:rPr>
          <w:rFonts w:asciiTheme="minorHAnsi" w:hAnsiTheme="minorHAnsi" w:cs="Arial"/>
          <w:sz w:val="22"/>
          <w:szCs w:val="22"/>
        </w:rPr>
        <w:t>he, Briey-en Forêt (F)</w:t>
      </w:r>
    </w:p>
    <w:p w:rsidR="00DF7ED8" w:rsidRDefault="00832153">
      <w:pPr>
        <w:pStyle w:val="Standard"/>
        <w:tabs>
          <w:tab w:val="left" w:pos="1701"/>
        </w:tabs>
        <w:ind w:left="1980" w:hanging="1980"/>
        <w:rPr>
          <w:rFonts w:asciiTheme="minorHAnsi" w:hAnsiTheme="minorHAnsi" w:cs="Arial"/>
          <w:sz w:val="22"/>
          <w:szCs w:val="22"/>
        </w:rPr>
      </w:pPr>
      <w:r>
        <w:rPr>
          <w:rFonts w:asciiTheme="minorHAnsi" w:hAnsiTheme="minorHAnsi" w:cs="Arial"/>
          <w:sz w:val="22"/>
          <w:szCs w:val="22"/>
        </w:rPr>
        <w:t>2011</w:t>
      </w:r>
      <w:r>
        <w:rPr>
          <w:rFonts w:asciiTheme="minorHAnsi" w:hAnsiTheme="minorHAnsi" w:cs="Arial"/>
          <w:sz w:val="22"/>
          <w:szCs w:val="22"/>
        </w:rPr>
        <w:tab/>
      </w:r>
      <w:r>
        <w:rPr>
          <w:rFonts w:asciiTheme="minorHAnsi" w:hAnsiTheme="minorHAnsi" w:cs="Arial"/>
          <w:i/>
          <w:sz w:val="22"/>
          <w:szCs w:val="22"/>
        </w:rPr>
        <w:t>Peindre ?</w:t>
      </w:r>
      <w:r>
        <w:rPr>
          <w:rFonts w:asciiTheme="minorHAnsi" w:hAnsiTheme="minorHAnsi" w:cs="Arial"/>
          <w:sz w:val="22"/>
          <w:szCs w:val="22"/>
        </w:rPr>
        <w:t>, Galerie Aliceday, Bruxelles</w:t>
      </w:r>
    </w:p>
    <w:p w:rsidR="00DF7ED8" w:rsidRDefault="00832153">
      <w:pPr>
        <w:pStyle w:val="Standard"/>
        <w:tabs>
          <w:tab w:val="left" w:pos="1701"/>
        </w:tabs>
        <w:ind w:left="1701" w:hanging="1701"/>
        <w:rPr>
          <w:rFonts w:asciiTheme="minorHAnsi" w:hAnsiTheme="minorHAnsi" w:cs="Arial"/>
          <w:sz w:val="22"/>
          <w:szCs w:val="22"/>
        </w:rPr>
      </w:pPr>
      <w:r>
        <w:rPr>
          <w:rFonts w:asciiTheme="minorHAnsi" w:hAnsiTheme="minorHAnsi" w:cs="Arial"/>
          <w:sz w:val="22"/>
          <w:szCs w:val="22"/>
        </w:rPr>
        <w:t>2001</w:t>
      </w:r>
      <w:r>
        <w:rPr>
          <w:rFonts w:asciiTheme="minorHAnsi" w:hAnsiTheme="minorHAnsi" w:cs="Arial"/>
          <w:sz w:val="22"/>
          <w:szCs w:val="22"/>
        </w:rPr>
        <w:tab/>
      </w:r>
      <w:r>
        <w:rPr>
          <w:rFonts w:asciiTheme="minorHAnsi" w:hAnsiTheme="minorHAnsi" w:cs="Arial"/>
          <w:i/>
          <w:sz w:val="22"/>
          <w:szCs w:val="22"/>
        </w:rPr>
        <w:t>Ici et maintenant</w:t>
      </w:r>
      <w:r>
        <w:rPr>
          <w:rFonts w:asciiTheme="minorHAnsi" w:hAnsiTheme="minorHAnsi" w:cs="Arial"/>
          <w:sz w:val="22"/>
          <w:szCs w:val="22"/>
        </w:rPr>
        <w:t>, Tour &amp; Taxis, Bruxelles (production Espace 251 Nord)</w:t>
      </w:r>
    </w:p>
    <w:p w:rsidR="00DF7ED8" w:rsidRDefault="00832153">
      <w:pPr>
        <w:pStyle w:val="Standard"/>
        <w:tabs>
          <w:tab w:val="left" w:pos="1701"/>
        </w:tabs>
        <w:ind w:left="1980" w:hanging="1980"/>
        <w:rPr>
          <w:rFonts w:asciiTheme="minorHAnsi" w:hAnsiTheme="minorHAnsi" w:cs="Arial"/>
          <w:sz w:val="22"/>
          <w:szCs w:val="22"/>
        </w:rPr>
      </w:pPr>
      <w:r>
        <w:rPr>
          <w:rFonts w:asciiTheme="minorHAnsi" w:hAnsiTheme="minorHAnsi" w:cs="Arial"/>
          <w:sz w:val="22"/>
          <w:szCs w:val="22"/>
        </w:rPr>
        <w:t>1997</w:t>
      </w:r>
      <w:r>
        <w:rPr>
          <w:rFonts w:asciiTheme="minorHAnsi" w:hAnsiTheme="minorHAnsi" w:cs="Arial"/>
          <w:sz w:val="22"/>
          <w:szCs w:val="22"/>
        </w:rPr>
        <w:tab/>
      </w:r>
      <w:r>
        <w:rPr>
          <w:rFonts w:asciiTheme="minorHAnsi" w:hAnsiTheme="minorHAnsi" w:cs="Arial"/>
          <w:i/>
          <w:sz w:val="22"/>
          <w:szCs w:val="22"/>
        </w:rPr>
        <w:t>Tables d’espace-Epures</w:t>
      </w:r>
      <w:r>
        <w:rPr>
          <w:rFonts w:asciiTheme="minorHAnsi" w:hAnsiTheme="minorHAnsi" w:cs="Arial"/>
          <w:sz w:val="22"/>
          <w:szCs w:val="22"/>
        </w:rPr>
        <w:t>, Musée d’Ixelles, Bruxelles</w:t>
      </w:r>
    </w:p>
    <w:p w:rsidR="00DF7ED8" w:rsidRDefault="00832153">
      <w:pPr>
        <w:jc w:val="both"/>
        <w:rPr>
          <w:rFonts w:cs="Arial"/>
          <w:sz w:val="22"/>
          <w:szCs w:val="22"/>
        </w:rPr>
      </w:pPr>
      <w:r>
        <w:rPr>
          <w:rFonts w:cs="Arial"/>
          <w:sz w:val="22"/>
          <w:szCs w:val="22"/>
        </w:rPr>
        <w:t>1989</w:t>
      </w:r>
      <w:r>
        <w:rPr>
          <w:rFonts w:eastAsia="Arial Unicode MS" w:cs="Arial"/>
          <w:kern w:val="3"/>
          <w:sz w:val="22"/>
          <w:szCs w:val="22"/>
          <w:lang w:val="fr-BE" w:eastAsia="fr-BE"/>
        </w:rPr>
        <w:tab/>
      </w:r>
      <w:r>
        <w:rPr>
          <w:rFonts w:eastAsia="Arial Unicode MS" w:cs="Arial"/>
          <w:kern w:val="3"/>
          <w:sz w:val="22"/>
          <w:szCs w:val="22"/>
          <w:lang w:val="fr-BE" w:eastAsia="fr-BE"/>
        </w:rPr>
        <w:tab/>
        <w:t xml:space="preserve">     </w:t>
      </w:r>
      <w:r>
        <w:rPr>
          <w:rFonts w:cs="Arial"/>
          <w:i/>
          <w:sz w:val="22"/>
          <w:szCs w:val="22"/>
        </w:rPr>
        <w:t>9 Sculpteurs</w:t>
      </w:r>
      <w:r>
        <w:rPr>
          <w:rFonts w:cs="Arial"/>
          <w:sz w:val="22"/>
          <w:szCs w:val="22"/>
        </w:rPr>
        <w:t xml:space="preserve">, Parc Tenbosch, Bruxelles </w:t>
      </w:r>
    </w:p>
    <w:p w:rsidR="00DF7ED8" w:rsidRDefault="00832153">
      <w:pPr>
        <w:jc w:val="both"/>
        <w:rPr>
          <w:rFonts w:cs="Arial"/>
          <w:sz w:val="22"/>
          <w:szCs w:val="22"/>
        </w:rPr>
      </w:pPr>
      <w:r>
        <w:rPr>
          <w:rFonts w:cs="Arial"/>
          <w:sz w:val="22"/>
          <w:szCs w:val="22"/>
        </w:rPr>
        <w:t>1989</w:t>
      </w:r>
      <w:r>
        <w:rPr>
          <w:rFonts w:cs="Arial"/>
          <w:sz w:val="22"/>
          <w:szCs w:val="22"/>
        </w:rPr>
        <w:tab/>
      </w:r>
      <w:r>
        <w:rPr>
          <w:rFonts w:cs="Arial"/>
          <w:sz w:val="22"/>
          <w:szCs w:val="22"/>
        </w:rPr>
        <w:tab/>
        <w:t xml:space="preserve">    </w:t>
      </w:r>
      <w:r>
        <w:rPr>
          <w:rFonts w:cs="Arial"/>
          <w:i/>
          <w:sz w:val="22"/>
          <w:szCs w:val="22"/>
        </w:rPr>
        <w:t>De Visu,</w:t>
      </w:r>
      <w:r>
        <w:rPr>
          <w:rFonts w:cs="Arial"/>
          <w:sz w:val="22"/>
          <w:szCs w:val="22"/>
        </w:rPr>
        <w:t xml:space="preserve"> Galerie Détour, Jambes </w:t>
      </w:r>
    </w:p>
    <w:p w:rsidR="00DF7ED8" w:rsidRDefault="00832153">
      <w:pPr>
        <w:ind w:left="1701" w:hanging="1701"/>
        <w:jc w:val="both"/>
        <w:rPr>
          <w:rFonts w:cs="Arial"/>
          <w:sz w:val="22"/>
          <w:szCs w:val="22"/>
        </w:rPr>
      </w:pPr>
      <w:r>
        <w:rPr>
          <w:rFonts w:eastAsia="Arial Unicode MS" w:cs="Arial"/>
          <w:i/>
          <w:kern w:val="3"/>
          <w:sz w:val="22"/>
          <w:szCs w:val="22"/>
          <w:lang w:val="fr-BE" w:eastAsia="fr-BE"/>
        </w:rPr>
        <w:t>1985</w:t>
      </w:r>
      <w:r>
        <w:rPr>
          <w:rFonts w:eastAsia="Arial Unicode MS" w:cs="Arial"/>
          <w:i/>
          <w:kern w:val="3"/>
          <w:sz w:val="22"/>
          <w:szCs w:val="22"/>
          <w:lang w:val="fr-BE" w:eastAsia="fr-BE"/>
        </w:rPr>
        <w:tab/>
        <w:t>Place Saint-Lambert-Investigations</w:t>
      </w:r>
      <w:r>
        <w:rPr>
          <w:rFonts w:cs="Arial"/>
          <w:sz w:val="22"/>
          <w:szCs w:val="22"/>
        </w:rPr>
        <w:t>, Liège (production Espace 251 Nord)</w:t>
      </w:r>
    </w:p>
    <w:p w:rsidR="00DF7ED8" w:rsidRDefault="00832153">
      <w:pPr>
        <w:pStyle w:val="Standard"/>
        <w:tabs>
          <w:tab w:val="left" w:pos="1701"/>
        </w:tabs>
        <w:ind w:left="1980" w:hanging="1980"/>
        <w:rPr>
          <w:rFonts w:asciiTheme="minorHAnsi" w:hAnsiTheme="minorHAnsi" w:cs="Arial"/>
          <w:sz w:val="22"/>
          <w:szCs w:val="22"/>
          <w:lang w:val="nl-BE"/>
        </w:rPr>
      </w:pPr>
      <w:r>
        <w:rPr>
          <w:rFonts w:asciiTheme="minorHAnsi" w:hAnsiTheme="minorHAnsi" w:cs="Arial"/>
          <w:sz w:val="22"/>
          <w:szCs w:val="22"/>
          <w:lang w:val="nl-BE"/>
        </w:rPr>
        <w:t>1981</w:t>
      </w:r>
      <w:r>
        <w:rPr>
          <w:rFonts w:asciiTheme="minorHAnsi" w:hAnsiTheme="minorHAnsi" w:cs="Arial"/>
          <w:sz w:val="22"/>
          <w:szCs w:val="22"/>
          <w:lang w:val="nl-BE"/>
        </w:rPr>
        <w:tab/>
      </w:r>
      <w:r>
        <w:rPr>
          <w:rFonts w:asciiTheme="minorHAnsi" w:hAnsiTheme="minorHAnsi" w:cs="Arial"/>
          <w:i/>
          <w:sz w:val="22"/>
          <w:szCs w:val="22"/>
          <w:lang w:val="nl-BE"/>
        </w:rPr>
        <w:t>16</w:t>
      </w:r>
      <w:r>
        <w:rPr>
          <w:rFonts w:asciiTheme="minorHAnsi" w:hAnsiTheme="minorHAnsi" w:cs="Arial"/>
          <w:i/>
          <w:sz w:val="22"/>
          <w:szCs w:val="22"/>
          <w:vertAlign w:val="superscript"/>
          <w:lang w:val="nl-BE"/>
        </w:rPr>
        <w:t>E</w:t>
      </w:r>
      <w:r>
        <w:rPr>
          <w:rFonts w:asciiTheme="minorHAnsi" w:hAnsiTheme="minorHAnsi" w:cs="Arial"/>
          <w:i/>
          <w:sz w:val="22"/>
          <w:szCs w:val="22"/>
          <w:lang w:val="nl-BE"/>
        </w:rPr>
        <w:t xml:space="preserve"> Biënnale voor Beeldhouwkunst Middelheim</w:t>
      </w:r>
      <w:r>
        <w:rPr>
          <w:rFonts w:asciiTheme="minorHAnsi" w:hAnsiTheme="minorHAnsi" w:cs="Arial"/>
          <w:sz w:val="22"/>
          <w:szCs w:val="22"/>
          <w:lang w:val="nl-BE"/>
        </w:rPr>
        <w:t>, Anvers</w:t>
      </w:r>
    </w:p>
    <w:p w:rsidR="00DF7ED8" w:rsidRDefault="00DF7ED8">
      <w:pPr>
        <w:pStyle w:val="Standard"/>
        <w:tabs>
          <w:tab w:val="left" w:pos="1701"/>
        </w:tabs>
        <w:ind w:left="1980" w:hanging="1980"/>
        <w:rPr>
          <w:rFonts w:asciiTheme="minorHAnsi" w:hAnsiTheme="minorHAnsi" w:cs="Arial"/>
          <w:sz w:val="22"/>
          <w:szCs w:val="22"/>
          <w:lang w:val="nl-BE"/>
        </w:rPr>
      </w:pPr>
    </w:p>
    <w:p w:rsidR="00DF7ED8" w:rsidRDefault="00DF7ED8">
      <w:pPr>
        <w:pStyle w:val="Standard"/>
        <w:tabs>
          <w:tab w:val="left" w:pos="1701"/>
        </w:tabs>
        <w:ind w:left="1980" w:hanging="1980"/>
        <w:rPr>
          <w:rFonts w:asciiTheme="minorHAnsi" w:hAnsiTheme="minorHAnsi" w:cs="Arial"/>
          <w:sz w:val="22"/>
          <w:szCs w:val="22"/>
          <w:lang w:val="nl-BE"/>
        </w:rPr>
      </w:pPr>
    </w:p>
    <w:p w:rsidR="00DF7ED8" w:rsidRDefault="00DF7ED8">
      <w:pPr>
        <w:spacing w:after="160" w:line="259" w:lineRule="auto"/>
        <w:jc w:val="center"/>
        <w:rPr>
          <w:rFonts w:cs="Arial"/>
          <w:sz w:val="22"/>
          <w:szCs w:val="22"/>
        </w:rPr>
      </w:pPr>
    </w:p>
    <w:p w:rsidR="00DF7ED8" w:rsidRDefault="00DF7ED8">
      <w:pPr>
        <w:pStyle w:val="Titre1"/>
        <w:rPr>
          <w:rFonts w:cs="Arial"/>
          <w:b/>
          <w:sz w:val="22"/>
          <w:szCs w:val="22"/>
        </w:rPr>
      </w:pPr>
    </w:p>
    <w:p w:rsidR="00DF7ED8" w:rsidRDefault="00DF7ED8">
      <w:pPr>
        <w:jc w:val="both"/>
        <w:rPr>
          <w:rFonts w:cs="Arial"/>
          <w:sz w:val="22"/>
          <w:szCs w:val="22"/>
        </w:rPr>
      </w:pPr>
    </w:p>
    <w:p w:rsidR="00DF7ED8" w:rsidRDefault="00DF7ED8">
      <w:pPr>
        <w:rPr>
          <w:rFonts w:cs="Arial"/>
          <w:sz w:val="22"/>
          <w:szCs w:val="22"/>
        </w:rPr>
      </w:pPr>
    </w:p>
    <w:p w:rsidR="00DF7ED8" w:rsidRDefault="00DF7ED8">
      <w:pPr>
        <w:rPr>
          <w:rFonts w:cs="Arial"/>
          <w:sz w:val="22"/>
          <w:szCs w:val="22"/>
        </w:rPr>
      </w:pPr>
    </w:p>
    <w:p w:rsidR="00DF7ED8" w:rsidRDefault="00DF7ED8">
      <w:pPr>
        <w:rPr>
          <w:rFonts w:cs="Arial"/>
          <w:sz w:val="22"/>
          <w:szCs w:val="22"/>
        </w:rPr>
      </w:pPr>
    </w:p>
    <w:p w:rsidR="00DF7ED8" w:rsidRDefault="00832153">
      <w:pPr>
        <w:rPr>
          <w:rFonts w:cs="Arial"/>
          <w:sz w:val="22"/>
          <w:szCs w:val="22"/>
        </w:rPr>
      </w:pPr>
      <w:r>
        <w:rPr>
          <w:rFonts w:cs="Arial"/>
          <w:sz w:val="22"/>
          <w:szCs w:val="22"/>
        </w:rPr>
        <w:br w:type="page"/>
      </w:r>
    </w:p>
    <w:p w:rsidR="00DF7ED8" w:rsidRDefault="00832153">
      <w:pPr>
        <w:pStyle w:val="Titre1"/>
        <w:rPr>
          <w:rFonts w:asciiTheme="minorHAnsi" w:hAnsiTheme="minorHAnsi"/>
        </w:rPr>
      </w:pPr>
      <w:bookmarkStart w:id="8" w:name="_Toc494977009"/>
      <w:r>
        <w:rPr>
          <w:rFonts w:asciiTheme="minorHAnsi" w:hAnsiTheme="minorHAnsi"/>
        </w:rPr>
        <w:lastRenderedPageBreak/>
        <w:t>4. Publications</w:t>
      </w:r>
      <w:bookmarkEnd w:id="8"/>
    </w:p>
    <w:p w:rsidR="00DF7ED8" w:rsidRDefault="00DF7ED8">
      <w:pPr>
        <w:rPr>
          <w:rFonts w:cs="Arial"/>
          <w:sz w:val="22"/>
          <w:szCs w:val="22"/>
        </w:rPr>
      </w:pPr>
    </w:p>
    <w:p w:rsidR="00DF7ED8" w:rsidRDefault="00832153">
      <w:pPr>
        <w:rPr>
          <w:rFonts w:cs="Arial"/>
          <w:b/>
          <w:i/>
          <w:iCs/>
          <w:sz w:val="22"/>
          <w:szCs w:val="22"/>
        </w:rPr>
      </w:pPr>
      <w:r>
        <w:rPr>
          <w:noProof/>
          <w:lang w:val="fr-BE" w:eastAsia="fr-BE"/>
        </w:rPr>
        <w:drawing>
          <wp:anchor distT="0" distB="0" distL="114300" distR="114300" simplePos="0" relativeHeight="251673600" behindDoc="0" locked="0" layoutInCell="1" allowOverlap="1">
            <wp:simplePos x="0" y="0"/>
            <wp:positionH relativeFrom="column">
              <wp:posOffset>-4445</wp:posOffset>
            </wp:positionH>
            <wp:positionV relativeFrom="paragraph">
              <wp:posOffset>160020</wp:posOffset>
            </wp:positionV>
            <wp:extent cx="1266825" cy="1949450"/>
            <wp:effectExtent l="0" t="0" r="9525"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266825" cy="1949450"/>
                    </a:xfrm>
                    <a:prstGeom prst="rect">
                      <a:avLst/>
                    </a:prstGeom>
                  </pic:spPr>
                </pic:pic>
              </a:graphicData>
            </a:graphic>
            <wp14:sizeRelH relativeFrom="margin">
              <wp14:pctWidth>0</wp14:pctWidth>
            </wp14:sizeRelH>
            <wp14:sizeRelV relativeFrom="margin">
              <wp14:pctHeight>0</wp14:pctHeight>
            </wp14:sizeRelV>
          </wp:anchor>
        </w:drawing>
      </w:r>
    </w:p>
    <w:p w:rsidR="00DF7ED8" w:rsidRDefault="00832153">
      <w:pPr>
        <w:rPr>
          <w:rFonts w:cs="Arial"/>
          <w:b/>
          <w:i/>
          <w:iCs/>
          <w:sz w:val="22"/>
          <w:szCs w:val="22"/>
        </w:rPr>
      </w:pPr>
      <w:r>
        <w:rPr>
          <w:rFonts w:cs="Arial"/>
          <w:b/>
          <w:i/>
          <w:iCs/>
          <w:sz w:val="22"/>
          <w:szCs w:val="22"/>
        </w:rPr>
        <w:t xml:space="preserve">                    </w:t>
      </w:r>
      <w:r>
        <w:rPr>
          <w:noProof/>
          <w:lang w:val="fr-BE" w:eastAsia="fr-BE"/>
        </w:rPr>
        <w:drawing>
          <wp:inline distT="0" distB="0" distL="0" distR="0">
            <wp:extent cx="1289578" cy="1817370"/>
            <wp:effectExtent l="0" t="0" r="635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318975" cy="1858799"/>
                    </a:xfrm>
                    <a:prstGeom prst="rect">
                      <a:avLst/>
                    </a:prstGeom>
                  </pic:spPr>
                </pic:pic>
              </a:graphicData>
            </a:graphic>
          </wp:inline>
        </w:drawing>
      </w:r>
      <w:r>
        <w:rPr>
          <w:rFonts w:cs="Arial"/>
          <w:b/>
          <w:i/>
          <w:iCs/>
          <w:sz w:val="22"/>
          <w:szCs w:val="22"/>
        </w:rPr>
        <w:br w:type="textWrapping" w:clear="all"/>
      </w:r>
    </w:p>
    <w:p w:rsidR="00DF7ED8" w:rsidRDefault="00DF7ED8">
      <w:pPr>
        <w:rPr>
          <w:rFonts w:cs="Arial"/>
          <w:b/>
          <w:i/>
          <w:iCs/>
          <w:sz w:val="22"/>
          <w:szCs w:val="22"/>
        </w:rPr>
      </w:pPr>
    </w:p>
    <w:p w:rsidR="00DF7ED8" w:rsidRDefault="00DF7ED8">
      <w:pPr>
        <w:rPr>
          <w:rFonts w:cs="Arial"/>
          <w:b/>
          <w:i/>
          <w:iCs/>
          <w:sz w:val="22"/>
          <w:szCs w:val="22"/>
        </w:rPr>
      </w:pPr>
    </w:p>
    <w:p w:rsidR="00DF7ED8" w:rsidRDefault="00832153">
      <w:pPr>
        <w:rPr>
          <w:rFonts w:cs="Arial"/>
          <w:b/>
          <w:sz w:val="22"/>
          <w:szCs w:val="22"/>
        </w:rPr>
      </w:pPr>
      <w:r>
        <w:rPr>
          <w:rFonts w:cs="Arial"/>
          <w:b/>
          <w:i/>
          <w:iCs/>
          <w:sz w:val="22"/>
          <w:szCs w:val="22"/>
        </w:rPr>
        <w:t xml:space="preserve">Jean Glibert. Peintre en </w:t>
      </w:r>
      <w:r>
        <w:rPr>
          <w:rFonts w:cs="Arial"/>
          <w:b/>
          <w:i/>
          <w:iCs/>
          <w:sz w:val="22"/>
          <w:szCs w:val="22"/>
        </w:rPr>
        <w:t>bâtiment</w:t>
      </w:r>
      <w:r>
        <w:rPr>
          <w:rFonts w:cs="Arial"/>
          <w:b/>
          <w:sz w:val="22"/>
          <w:szCs w:val="22"/>
        </w:rPr>
        <w:t>, Bruxelles, Cellule architecture de la FWB, 2017</w:t>
      </w:r>
    </w:p>
    <w:p w:rsidR="00DF7ED8" w:rsidRDefault="00DF7ED8">
      <w:pPr>
        <w:rPr>
          <w:rFonts w:cs="Arial"/>
          <w:b/>
          <w:sz w:val="22"/>
          <w:szCs w:val="22"/>
        </w:rPr>
      </w:pPr>
    </w:p>
    <w:p w:rsidR="00DF7ED8" w:rsidRDefault="00832153">
      <w:pPr>
        <w:rPr>
          <w:rFonts w:cs="Arial"/>
          <w:sz w:val="22"/>
          <w:szCs w:val="22"/>
        </w:rPr>
      </w:pPr>
      <w:r>
        <w:rPr>
          <w:rFonts w:cs="Arial"/>
          <w:sz w:val="22"/>
          <w:szCs w:val="22"/>
        </w:rPr>
        <w:t>Prix du coffret: 50 € - ISBN : 978-2-930705-31-6</w:t>
      </w:r>
    </w:p>
    <w:p w:rsidR="00DF7ED8" w:rsidRDefault="00832153">
      <w:pPr>
        <w:rPr>
          <w:rFonts w:cs="Arial"/>
          <w:sz w:val="22"/>
          <w:szCs w:val="22"/>
        </w:rPr>
      </w:pPr>
      <w:r>
        <w:rPr>
          <w:rFonts w:cs="Arial"/>
          <w:sz w:val="22"/>
          <w:szCs w:val="22"/>
        </w:rPr>
        <w:t>Prix à l’unité : 10 €</w:t>
      </w:r>
    </w:p>
    <w:p w:rsidR="00DF7ED8" w:rsidRDefault="00832153">
      <w:pPr>
        <w:rPr>
          <w:rFonts w:cs="Arial"/>
          <w:sz w:val="22"/>
          <w:szCs w:val="22"/>
        </w:rPr>
      </w:pPr>
      <w:r>
        <w:rPr>
          <w:rFonts w:cs="Arial"/>
          <w:sz w:val="22"/>
          <w:szCs w:val="22"/>
        </w:rPr>
        <w:t xml:space="preserve">Langue : FR /EN </w:t>
      </w:r>
    </w:p>
    <w:p w:rsidR="00DF7ED8" w:rsidRDefault="00832153">
      <w:pPr>
        <w:jc w:val="both"/>
        <w:rPr>
          <w:rFonts w:cs="Arial"/>
          <w:sz w:val="22"/>
          <w:szCs w:val="22"/>
        </w:rPr>
      </w:pPr>
      <w:r>
        <w:rPr>
          <w:rFonts w:cs="Arial"/>
          <w:sz w:val="22"/>
          <w:szCs w:val="22"/>
        </w:rPr>
        <w:t xml:space="preserve">Un coffret, comprenant 7 publications, est édité dans le cadre de l’exposition « Jean Glibert. Peintre en </w:t>
      </w:r>
      <w:r>
        <w:rPr>
          <w:rFonts w:cs="Arial"/>
          <w:sz w:val="22"/>
          <w:szCs w:val="22"/>
        </w:rPr>
        <w:t>bâtiment ». Chaque publication – vendue également à l’unité - présente des pratiques ou des interventions de Jean Glibert dans l’architecture et/ou l’espace public.</w:t>
      </w:r>
    </w:p>
    <w:p w:rsidR="00DF7ED8" w:rsidRDefault="00DF7ED8">
      <w:pPr>
        <w:rPr>
          <w:rFonts w:cs="Arial"/>
          <w:sz w:val="22"/>
          <w:szCs w:val="22"/>
        </w:rPr>
      </w:pPr>
    </w:p>
    <w:p w:rsidR="00DF7ED8" w:rsidRDefault="00832153">
      <w:pPr>
        <w:rPr>
          <w:rFonts w:cs="Arial"/>
          <w:sz w:val="22"/>
          <w:szCs w:val="22"/>
          <w:lang w:val="en-US"/>
        </w:rPr>
      </w:pPr>
      <w:r>
        <w:rPr>
          <w:rFonts w:cs="Arial"/>
          <w:sz w:val="22"/>
          <w:szCs w:val="22"/>
          <w:lang w:val="en-US"/>
        </w:rPr>
        <w:t>N°1: 512 Photographies</w:t>
      </w:r>
      <w:r>
        <w:rPr>
          <w:rFonts w:cs="Arial"/>
          <w:sz w:val="22"/>
          <w:szCs w:val="22"/>
          <w:lang w:val="en-US"/>
        </w:rPr>
        <w:tab/>
      </w:r>
      <w:r>
        <w:rPr>
          <w:rFonts w:cs="Arial"/>
          <w:sz w:val="22"/>
          <w:szCs w:val="22"/>
          <w:lang w:val="en-US"/>
        </w:rPr>
        <w:tab/>
      </w:r>
      <w:r>
        <w:rPr>
          <w:rFonts w:cs="Arial"/>
          <w:sz w:val="22"/>
          <w:szCs w:val="22"/>
          <w:lang w:val="en-US"/>
        </w:rPr>
        <w:tab/>
      </w:r>
      <w:r>
        <w:rPr>
          <w:rFonts w:cs="Arial"/>
          <w:sz w:val="22"/>
          <w:szCs w:val="22"/>
          <w:lang w:val="en-US"/>
        </w:rPr>
        <w:tab/>
      </w:r>
      <w:r>
        <w:rPr>
          <w:rFonts w:cs="Arial"/>
          <w:sz w:val="22"/>
          <w:szCs w:val="22"/>
          <w:lang w:val="en-US"/>
        </w:rPr>
        <w:tab/>
        <w:t>N°2 : Métro Merode</w:t>
      </w:r>
    </w:p>
    <w:p w:rsidR="00DF7ED8" w:rsidRDefault="00832153">
      <w:pPr>
        <w:rPr>
          <w:rFonts w:cs="Arial"/>
          <w:sz w:val="22"/>
          <w:szCs w:val="22"/>
          <w:lang w:val="en-US"/>
        </w:rPr>
      </w:pPr>
      <w:r>
        <w:rPr>
          <w:rFonts w:cs="Arial"/>
          <w:sz w:val="22"/>
          <w:szCs w:val="22"/>
          <w:lang w:val="en-US"/>
        </w:rPr>
        <w:t xml:space="preserve">ISBN : 978-2-930705-29-3 </w:t>
      </w:r>
      <w:r>
        <w:rPr>
          <w:rFonts w:cs="Arial"/>
          <w:sz w:val="22"/>
          <w:szCs w:val="22"/>
          <w:lang w:val="en-US"/>
        </w:rPr>
        <w:tab/>
      </w:r>
      <w:r>
        <w:rPr>
          <w:rFonts w:cs="Arial"/>
          <w:sz w:val="22"/>
          <w:szCs w:val="22"/>
          <w:lang w:val="en-US"/>
        </w:rPr>
        <w:tab/>
      </w:r>
      <w:r>
        <w:rPr>
          <w:rFonts w:cs="Arial"/>
          <w:sz w:val="22"/>
          <w:szCs w:val="22"/>
          <w:lang w:val="en-US"/>
        </w:rPr>
        <w:tab/>
      </w:r>
      <w:r>
        <w:rPr>
          <w:rFonts w:cs="Arial"/>
          <w:sz w:val="22"/>
          <w:szCs w:val="22"/>
          <w:lang w:val="en-US"/>
        </w:rPr>
        <w:tab/>
        <w:t xml:space="preserve">ISBN : </w:t>
      </w:r>
      <w:r>
        <w:rPr>
          <w:rFonts w:cs="Arial"/>
          <w:sz w:val="22"/>
          <w:szCs w:val="22"/>
          <w:lang w:val="en-US"/>
        </w:rPr>
        <w:t>978-2-930705-24-8</w:t>
      </w:r>
    </w:p>
    <w:p w:rsidR="00DF7ED8" w:rsidRDefault="00832153">
      <w:pPr>
        <w:rPr>
          <w:rFonts w:cs="Arial"/>
          <w:sz w:val="22"/>
          <w:szCs w:val="22"/>
          <w:lang w:val="en-US"/>
        </w:rPr>
      </w:pPr>
      <w:r>
        <w:rPr>
          <w:rFonts w:cs="Arial"/>
          <w:sz w:val="22"/>
          <w:szCs w:val="22"/>
          <w:lang w:val="en-US"/>
        </w:rPr>
        <w:t xml:space="preserve">N°3 : BAM </w:t>
      </w:r>
      <w:r>
        <w:rPr>
          <w:rFonts w:cs="Arial"/>
          <w:sz w:val="22"/>
          <w:szCs w:val="22"/>
          <w:lang w:val="en-US"/>
        </w:rPr>
        <w:tab/>
      </w:r>
      <w:r>
        <w:rPr>
          <w:rFonts w:cs="Arial"/>
          <w:sz w:val="22"/>
          <w:szCs w:val="22"/>
          <w:lang w:val="en-US"/>
        </w:rPr>
        <w:tab/>
      </w:r>
      <w:r>
        <w:rPr>
          <w:rFonts w:cs="Arial"/>
          <w:sz w:val="22"/>
          <w:szCs w:val="22"/>
          <w:lang w:val="en-US"/>
        </w:rPr>
        <w:tab/>
      </w:r>
      <w:r>
        <w:rPr>
          <w:rFonts w:cs="Arial"/>
          <w:sz w:val="22"/>
          <w:szCs w:val="22"/>
          <w:lang w:val="en-US"/>
        </w:rPr>
        <w:tab/>
      </w:r>
      <w:r>
        <w:rPr>
          <w:rFonts w:cs="Arial"/>
          <w:sz w:val="22"/>
          <w:szCs w:val="22"/>
          <w:lang w:val="en-US"/>
        </w:rPr>
        <w:tab/>
      </w:r>
      <w:r>
        <w:rPr>
          <w:rFonts w:cs="Arial"/>
          <w:sz w:val="22"/>
          <w:szCs w:val="22"/>
          <w:lang w:val="en-US"/>
        </w:rPr>
        <w:tab/>
        <w:t>N°4 : Belmont Court</w:t>
      </w:r>
    </w:p>
    <w:p w:rsidR="00DF7ED8" w:rsidRDefault="00832153">
      <w:pPr>
        <w:rPr>
          <w:rFonts w:cs="Arial"/>
          <w:sz w:val="22"/>
          <w:szCs w:val="22"/>
          <w:lang w:val="en-US"/>
        </w:rPr>
      </w:pPr>
      <w:r>
        <w:rPr>
          <w:rFonts w:cs="Arial"/>
          <w:sz w:val="22"/>
          <w:szCs w:val="22"/>
          <w:lang w:val="en-US"/>
        </w:rPr>
        <w:t xml:space="preserve">ISBN : 978-2-930705-25-5 </w:t>
      </w:r>
      <w:r>
        <w:rPr>
          <w:rFonts w:cs="Arial"/>
          <w:sz w:val="22"/>
          <w:szCs w:val="22"/>
          <w:lang w:val="en-US"/>
        </w:rPr>
        <w:tab/>
      </w:r>
      <w:r>
        <w:rPr>
          <w:rFonts w:cs="Arial"/>
          <w:sz w:val="22"/>
          <w:szCs w:val="22"/>
          <w:lang w:val="en-US"/>
        </w:rPr>
        <w:tab/>
      </w:r>
      <w:r>
        <w:rPr>
          <w:rFonts w:cs="Arial"/>
          <w:sz w:val="22"/>
          <w:szCs w:val="22"/>
          <w:lang w:val="en-US"/>
        </w:rPr>
        <w:tab/>
      </w:r>
      <w:r>
        <w:rPr>
          <w:rFonts w:cs="Arial"/>
          <w:sz w:val="22"/>
          <w:szCs w:val="22"/>
          <w:lang w:val="en-US"/>
        </w:rPr>
        <w:tab/>
        <w:t>ISBN : 978-2-930705-26-2</w:t>
      </w:r>
    </w:p>
    <w:p w:rsidR="00DF7ED8" w:rsidRDefault="00832153">
      <w:pPr>
        <w:rPr>
          <w:rFonts w:cs="Arial"/>
          <w:sz w:val="22"/>
          <w:szCs w:val="22"/>
        </w:rPr>
      </w:pPr>
      <w:r>
        <w:rPr>
          <w:rFonts w:cs="Arial"/>
          <w:sz w:val="22"/>
          <w:szCs w:val="22"/>
        </w:rPr>
        <w:t xml:space="preserve">N°5 : Palais des Beaux-Arts </w:t>
      </w:r>
      <w:r>
        <w:rPr>
          <w:rFonts w:cs="Arial"/>
          <w:sz w:val="22"/>
          <w:szCs w:val="22"/>
        </w:rPr>
        <w:tab/>
      </w:r>
      <w:r>
        <w:rPr>
          <w:rFonts w:cs="Arial"/>
          <w:sz w:val="22"/>
          <w:szCs w:val="22"/>
        </w:rPr>
        <w:tab/>
      </w:r>
      <w:r>
        <w:rPr>
          <w:rFonts w:cs="Arial"/>
          <w:sz w:val="22"/>
          <w:szCs w:val="22"/>
        </w:rPr>
        <w:tab/>
      </w:r>
      <w:r>
        <w:rPr>
          <w:rFonts w:cs="Arial"/>
          <w:sz w:val="22"/>
          <w:szCs w:val="22"/>
        </w:rPr>
        <w:tab/>
        <w:t>N°6:Oeuvres dans l’espace public</w:t>
      </w:r>
    </w:p>
    <w:p w:rsidR="00DF7ED8" w:rsidRDefault="00832153">
      <w:pPr>
        <w:rPr>
          <w:rFonts w:cs="Arial"/>
          <w:sz w:val="22"/>
          <w:szCs w:val="22"/>
        </w:rPr>
      </w:pPr>
      <w:r>
        <w:rPr>
          <w:rFonts w:cs="Arial"/>
          <w:sz w:val="22"/>
          <w:szCs w:val="22"/>
        </w:rPr>
        <w:t xml:space="preserve">ISBN : 978-2-930705-27-9 </w:t>
      </w:r>
      <w:r>
        <w:rPr>
          <w:rFonts w:cs="Arial"/>
          <w:sz w:val="22"/>
          <w:szCs w:val="22"/>
        </w:rPr>
        <w:tab/>
      </w:r>
      <w:r>
        <w:rPr>
          <w:rFonts w:cs="Arial"/>
          <w:sz w:val="22"/>
          <w:szCs w:val="22"/>
        </w:rPr>
        <w:tab/>
      </w:r>
      <w:r>
        <w:rPr>
          <w:rFonts w:cs="Arial"/>
          <w:sz w:val="22"/>
          <w:szCs w:val="22"/>
        </w:rPr>
        <w:tab/>
      </w:r>
      <w:r>
        <w:rPr>
          <w:rFonts w:cs="Arial"/>
          <w:sz w:val="22"/>
          <w:szCs w:val="22"/>
        </w:rPr>
        <w:tab/>
        <w:t>ISBN : 978-2-930705-28-6</w:t>
      </w:r>
    </w:p>
    <w:p w:rsidR="00DF7ED8" w:rsidRDefault="00832153">
      <w:pPr>
        <w:rPr>
          <w:rFonts w:cs="Arial"/>
          <w:sz w:val="22"/>
          <w:szCs w:val="22"/>
        </w:rPr>
      </w:pPr>
      <w:r>
        <w:rPr>
          <w:rFonts w:cs="Arial"/>
          <w:sz w:val="22"/>
          <w:szCs w:val="22"/>
        </w:rPr>
        <w:t>N°7 : Tableaux d’architecture</w:t>
      </w:r>
      <w:r>
        <w:rPr>
          <w:rFonts w:cs="Arial"/>
          <w:sz w:val="22"/>
          <w:szCs w:val="22"/>
        </w:rPr>
        <w:br/>
        <w:t>ISBN : 978-2-930705-30-9</w:t>
      </w:r>
    </w:p>
    <w:p w:rsidR="00DF7ED8" w:rsidRDefault="00DF7ED8">
      <w:pPr>
        <w:rPr>
          <w:rFonts w:cs="Arial"/>
          <w:sz w:val="22"/>
          <w:szCs w:val="22"/>
        </w:rPr>
      </w:pPr>
    </w:p>
    <w:p w:rsidR="00DF7ED8" w:rsidRDefault="00832153">
      <w:pPr>
        <w:rPr>
          <w:rFonts w:cs="Arial"/>
          <w:sz w:val="22"/>
          <w:szCs w:val="22"/>
        </w:rPr>
      </w:pPr>
      <w:r>
        <w:rPr>
          <w:rFonts w:cs="Arial"/>
          <w:sz w:val="22"/>
          <w:szCs w:val="22"/>
        </w:rPr>
        <w:t> </w:t>
      </w:r>
    </w:p>
    <w:p w:rsidR="00DF7ED8" w:rsidRDefault="00832153">
      <w:pPr>
        <w:rPr>
          <w:rFonts w:cs="Arial"/>
          <w:b/>
          <w:sz w:val="22"/>
          <w:szCs w:val="22"/>
        </w:rPr>
      </w:pPr>
      <w:r>
        <w:rPr>
          <w:rFonts w:cs="Arial"/>
          <w:b/>
          <w:sz w:val="22"/>
          <w:szCs w:val="22"/>
        </w:rPr>
        <w:t>Balau, R. (sous la dir.), </w:t>
      </w:r>
      <w:r>
        <w:rPr>
          <w:rFonts w:cs="Arial"/>
          <w:b/>
          <w:i/>
          <w:iCs/>
          <w:sz w:val="22"/>
          <w:szCs w:val="22"/>
        </w:rPr>
        <w:t>Jean Glibert</w:t>
      </w:r>
      <w:r>
        <w:rPr>
          <w:rFonts w:cs="Arial"/>
          <w:b/>
          <w:sz w:val="22"/>
          <w:szCs w:val="22"/>
        </w:rPr>
        <w:t>, Bruxelles, Cellule architecture de la FWB, vol. 2, 2017. (Collection Fenêtre sur)</w:t>
      </w:r>
    </w:p>
    <w:p w:rsidR="00DF7ED8" w:rsidRDefault="00832153">
      <w:pPr>
        <w:rPr>
          <w:rFonts w:cs="Arial"/>
          <w:sz w:val="22"/>
          <w:szCs w:val="22"/>
        </w:rPr>
      </w:pPr>
      <w:r>
        <w:rPr>
          <w:rFonts w:cs="Arial"/>
          <w:sz w:val="22"/>
          <w:szCs w:val="22"/>
        </w:rPr>
        <w:t>Prix : 17 € - ISBN : 978-2-9307053-2-3</w:t>
      </w:r>
    </w:p>
    <w:p w:rsidR="00DF7ED8" w:rsidRDefault="00832153">
      <w:pPr>
        <w:rPr>
          <w:rFonts w:cs="Arial"/>
          <w:sz w:val="22"/>
          <w:szCs w:val="22"/>
        </w:rPr>
      </w:pPr>
      <w:r>
        <w:rPr>
          <w:rFonts w:cs="Arial"/>
          <w:sz w:val="22"/>
          <w:szCs w:val="22"/>
        </w:rPr>
        <w:t xml:space="preserve">Langue : FR /EN </w:t>
      </w:r>
    </w:p>
    <w:p w:rsidR="00DF7ED8" w:rsidRDefault="00832153">
      <w:pPr>
        <w:rPr>
          <w:rFonts w:cs="Arial"/>
          <w:sz w:val="22"/>
          <w:szCs w:val="22"/>
        </w:rPr>
      </w:pPr>
      <w:r>
        <w:rPr>
          <w:rFonts w:cs="Arial"/>
          <w:sz w:val="22"/>
          <w:szCs w:val="22"/>
        </w:rPr>
        <w:t> </w:t>
      </w:r>
    </w:p>
    <w:p w:rsidR="00DF7ED8" w:rsidRDefault="00832153">
      <w:pPr>
        <w:jc w:val="both"/>
        <w:rPr>
          <w:rFonts w:cs="Arial"/>
          <w:sz w:val="22"/>
          <w:szCs w:val="22"/>
        </w:rPr>
      </w:pPr>
      <w:r>
        <w:rPr>
          <w:rFonts w:cs="Arial"/>
          <w:sz w:val="22"/>
          <w:szCs w:val="22"/>
        </w:rPr>
        <w:t xml:space="preserve">Le deuxième volume de la collection </w:t>
      </w:r>
      <w:r>
        <w:rPr>
          <w:rFonts w:cs="Arial"/>
          <w:i/>
          <w:iCs/>
          <w:sz w:val="22"/>
          <w:szCs w:val="22"/>
        </w:rPr>
        <w:t>Fenêtre sur</w:t>
      </w:r>
      <w:r>
        <w:rPr>
          <w:rFonts w:cs="Arial"/>
          <w:sz w:val="22"/>
          <w:szCs w:val="22"/>
        </w:rPr>
        <w:t xml:space="preserve"> est développé autour d’un essai rédigé par Raymond Balau, enrichi de contributions confiées à Marc Dubois et Cécile Vandernoot. L’ouvrage permet de situer le travail de Jean Glibert dans la seconde moitié du XX</w:t>
      </w:r>
      <w:r>
        <w:rPr>
          <w:rFonts w:cs="Arial"/>
          <w:sz w:val="22"/>
          <w:szCs w:val="22"/>
          <w:vertAlign w:val="superscript"/>
        </w:rPr>
        <w:t>ème</w:t>
      </w:r>
      <w:r>
        <w:rPr>
          <w:rFonts w:cs="Arial"/>
          <w:sz w:val="22"/>
          <w:szCs w:val="22"/>
        </w:rPr>
        <w:t> siècle, en détaillant ses ancrages dans l</w:t>
      </w:r>
      <w:r>
        <w:rPr>
          <w:rFonts w:cs="Arial"/>
          <w:sz w:val="22"/>
          <w:szCs w:val="22"/>
        </w:rPr>
        <w:t>es générations précédentes (avant-gardes) et en élargissant le champ du travail récent à l’ensemble de sa démarche. Première publication de cette importance consacrée à Jean Glibert, elle comporte une contribution originale de l’artiste, scindée en début e</w:t>
      </w:r>
      <w:r>
        <w:rPr>
          <w:rFonts w:cs="Arial"/>
          <w:sz w:val="22"/>
          <w:szCs w:val="22"/>
        </w:rPr>
        <w:t>t en fin d’ouvrage.</w:t>
      </w:r>
    </w:p>
    <w:p w:rsidR="00DF7ED8" w:rsidRDefault="00DF7ED8">
      <w:pPr>
        <w:jc w:val="both"/>
        <w:rPr>
          <w:rFonts w:cs="Arial"/>
          <w:sz w:val="22"/>
          <w:szCs w:val="22"/>
        </w:rPr>
      </w:pPr>
    </w:p>
    <w:p w:rsidR="00DF7ED8" w:rsidRDefault="00832153">
      <w:pPr>
        <w:pStyle w:val="Titre1"/>
        <w:rPr>
          <w:rFonts w:asciiTheme="minorHAnsi" w:hAnsiTheme="minorHAnsi"/>
        </w:rPr>
      </w:pPr>
      <w:r>
        <w:rPr>
          <w:rFonts w:asciiTheme="minorHAnsi" w:hAnsiTheme="minorHAnsi"/>
        </w:rPr>
        <w:lastRenderedPageBreak/>
        <w:t>5. Fiche technique de l’exposition</w:t>
      </w:r>
    </w:p>
    <w:p w:rsidR="00DF7ED8" w:rsidRDefault="00DF7ED8"/>
    <w:p w:rsidR="00DF7ED8" w:rsidRDefault="00832153">
      <w:pPr>
        <w:pStyle w:val="Paragraphedeliste"/>
        <w:numPr>
          <w:ilvl w:val="0"/>
          <w:numId w:val="3"/>
        </w:numPr>
        <w:spacing w:line="259" w:lineRule="auto"/>
        <w:rPr>
          <w:b/>
        </w:rPr>
      </w:pPr>
      <w:r>
        <w:rPr>
          <w:b/>
        </w:rPr>
        <w:t>LES ESPACES</w:t>
      </w:r>
    </w:p>
    <w:p w:rsidR="00DF7ED8" w:rsidRDefault="00832153">
      <w:r>
        <w:t xml:space="preserve">L’exposition </w:t>
      </w:r>
      <w:r>
        <w:rPr>
          <w:rFonts w:ascii="Calibri Light" w:hAnsi="Calibri Light"/>
        </w:rPr>
        <w:t>présentée à Bozar</w:t>
      </w:r>
      <w:r>
        <w:t xml:space="preserve"> comportait cinq volets : les interventions in situ et quatre espaces d’expositions (voir plan Bozar)</w:t>
      </w:r>
    </w:p>
    <w:p w:rsidR="00DF7ED8" w:rsidRDefault="00832153">
      <w:r>
        <w:t>- l’espace architecture (foyer 4 : 128 m²)</w:t>
      </w:r>
    </w:p>
    <w:p w:rsidR="00DF7ED8" w:rsidRDefault="00832153">
      <w:r>
        <w:t>- le métro (</w:t>
      </w:r>
      <w:r>
        <w:t>foyer 2 a : 40 m²)</w:t>
      </w:r>
    </w:p>
    <w:p w:rsidR="00DF7ED8" w:rsidRDefault="00832153">
      <w:r>
        <w:t>- espace collectes (foyer 3 :90 m²)</w:t>
      </w:r>
    </w:p>
    <w:p w:rsidR="00DF7ED8" w:rsidRDefault="00832153">
      <w:r>
        <w:t>- peintures photographies recherches (foyer 2 :78 m²)</w:t>
      </w:r>
      <w:r>
        <w:tab/>
      </w:r>
      <w:r>
        <w:tab/>
      </w:r>
      <w:r>
        <w:tab/>
        <w:t>Total : 336 m²</w:t>
      </w:r>
      <w:r>
        <w:tab/>
      </w:r>
    </w:p>
    <w:p w:rsidR="00DF7ED8" w:rsidRDefault="00DF7ED8"/>
    <w:p w:rsidR="00DF7ED8" w:rsidRDefault="00832153">
      <w:r>
        <w:rPr>
          <w:rFonts w:ascii="Calibri Light" w:hAnsi="Calibri Light"/>
        </w:rPr>
        <w:t xml:space="preserve">Pour la présentation de l’exposition à l’étranger, la scénographie sera adaptée aux lieux et nécessite un espace minimum de 280 </w:t>
      </w:r>
      <w:r>
        <w:rPr>
          <w:rFonts w:ascii="Calibri Light" w:hAnsi="Calibri Light"/>
        </w:rPr>
        <w:t>m</w:t>
      </w:r>
      <w:r>
        <w:rPr>
          <w:rFonts w:ascii="Calibri Light" w:hAnsi="Calibri Light"/>
          <w:vertAlign w:val="superscript"/>
        </w:rPr>
        <w:t>2</w:t>
      </w:r>
    </w:p>
    <w:p w:rsidR="00DF7ED8" w:rsidRDefault="00832153">
      <w:r>
        <w:tab/>
      </w:r>
    </w:p>
    <w:p w:rsidR="00DF7ED8" w:rsidRDefault="00832153">
      <w:pPr>
        <w:rPr>
          <w:b/>
        </w:rPr>
      </w:pPr>
      <w:r>
        <w:rPr>
          <w:b/>
        </w:rPr>
        <w:t>ESPACE Architecture</w:t>
      </w:r>
    </w:p>
    <w:p w:rsidR="00DF7ED8" w:rsidRDefault="00832153">
      <w:r>
        <w:t>Mur et sols noirs.</w:t>
      </w:r>
    </w:p>
    <w:p w:rsidR="00DF7ED8" w:rsidRDefault="00832153">
      <w:r>
        <w:t xml:space="preserve">Une grande table de 10 x 2.20 m faite de feuilles de portes standard pré-peintes et pré-montées. </w:t>
      </w:r>
    </w:p>
    <w:p w:rsidR="00DF7ED8" w:rsidRDefault="00832153">
      <w:r>
        <w:t>Face supérieure fermée par des vitrages feuilletés.</w:t>
      </w:r>
    </w:p>
    <w:p w:rsidR="00DF7ED8" w:rsidRDefault="00832153">
      <w:r>
        <w:t xml:space="preserve">2 grandes projections murales de </w:t>
      </w:r>
      <w:r>
        <w:rPr>
          <w:u w:val="single"/>
        </w:rPr>
        <w:t>+</w:t>
      </w:r>
      <w:r>
        <w:t xml:space="preserve"> 250 x 400 cm (projecteurs non compris dans le matériel de l’exposition). Projections d’une vingtaine de projets et réalisations en rapport avec les objets et dessins exposés sur la grande table.</w:t>
      </w:r>
    </w:p>
    <w:p w:rsidR="00DF7ED8" w:rsidRDefault="00832153">
      <w:r>
        <w:t>1 écran plat LCD 42 ‘’ HD + multimedia player (non compris d</w:t>
      </w:r>
      <w:r>
        <w:t xml:space="preserve">ans le matériel de l’exposition) </w:t>
      </w:r>
      <w:bookmarkStart w:id="9" w:name="_Hlk514079270"/>
      <w:r>
        <w:rPr>
          <w:rFonts w:ascii="Calibri Light" w:hAnsi="Calibri Light"/>
        </w:rPr>
        <w:t xml:space="preserve">pour diffuser de </w:t>
      </w:r>
      <w:r>
        <w:t>courtes capsules vidéos d’interviews de l’artiste, des commanditaires et des utilisateurs.</w:t>
      </w:r>
    </w:p>
    <w:bookmarkEnd w:id="9"/>
    <w:p w:rsidR="00DF7ED8" w:rsidRDefault="00DF7ED8"/>
    <w:p w:rsidR="00DF7ED8" w:rsidRDefault="00832153">
      <w:r>
        <w:rPr>
          <w:b/>
        </w:rPr>
        <w:t>ESPACE métro</w:t>
      </w:r>
    </w:p>
    <w:p w:rsidR="00DF7ED8" w:rsidRDefault="00832153">
      <w:r>
        <w:t xml:space="preserve">Accrochage murale de dessins originaux d’une intervention </w:t>
      </w:r>
      <w:r>
        <w:rPr>
          <w:rFonts w:ascii="Calibri Light" w:hAnsi="Calibri Light"/>
        </w:rPr>
        <w:t>réalisée</w:t>
      </w:r>
      <w:r>
        <w:t xml:space="preserve"> dans le métro bruxellois dont un d</w:t>
      </w:r>
      <w:r>
        <w:t>e 6 x 0,40 m sous plexi.</w:t>
      </w:r>
    </w:p>
    <w:p w:rsidR="00DF7ED8" w:rsidRDefault="00DF7ED8"/>
    <w:p w:rsidR="00DF7ED8" w:rsidRDefault="00832153">
      <w:r>
        <w:rPr>
          <w:b/>
        </w:rPr>
        <w:t xml:space="preserve">ESPACE Collectes  </w:t>
      </w:r>
    </w:p>
    <w:p w:rsidR="00DF7ED8" w:rsidRDefault="00832153">
      <w:r>
        <w:t>10 étagères en métal galvanisé de 1.50 x 0.40 m et 1.70m de haut, fermées à l’aide de panneaux de plexiglas, éclairées par 10 réglettes T5 suspendues au plafond entre les étagères. Disposition des collectes et o</w:t>
      </w:r>
      <w:r>
        <w:t>bjets divers.</w:t>
      </w:r>
    </w:p>
    <w:p w:rsidR="00DF7ED8" w:rsidRDefault="00832153">
      <w:r>
        <w:t>2 écrans plats LCD 42’’HD + multimédia player (non compris dans le matériel de l’exposition)</w:t>
      </w:r>
      <w:r>
        <w:rPr>
          <w:rFonts w:ascii="Calibri Light" w:hAnsi="Calibri Light"/>
        </w:rPr>
        <w:t xml:space="preserve"> pour présenter de c</w:t>
      </w:r>
      <w:r>
        <w:t>ourtes capsules vidéos de projets et réalisations dans l’espace public.</w:t>
      </w:r>
    </w:p>
    <w:p w:rsidR="00DF7ED8" w:rsidRDefault="00DF7ED8"/>
    <w:p w:rsidR="00DF7ED8" w:rsidRDefault="00832153">
      <w:r>
        <w:rPr>
          <w:b/>
        </w:rPr>
        <w:t>ESPACE</w:t>
      </w:r>
      <w:r>
        <w:t xml:space="preserve"> </w:t>
      </w:r>
      <w:r>
        <w:rPr>
          <w:b/>
        </w:rPr>
        <w:t>Peintures photographies recherches</w:t>
      </w:r>
      <w:r>
        <w:t xml:space="preserve"> </w:t>
      </w:r>
    </w:p>
    <w:p w:rsidR="00DF7ED8" w:rsidRDefault="00DF7ED8"/>
    <w:p w:rsidR="00DF7ED8" w:rsidRDefault="00832153">
      <w:r>
        <w:t>Un grand chev</w:t>
      </w:r>
      <w:r>
        <w:t>alet de 6 x 1.2 m constitué de 6 feuilles de portes standard posées sur 6 tréteaux métalliques et galvanisés de maçon. Les dessins et recherches exposés sont recouverts de plexi recouvrant l’entièreté de la surface du chevalet.</w:t>
      </w:r>
    </w:p>
    <w:p w:rsidR="00DF7ED8" w:rsidRDefault="00832153">
      <w:r>
        <w:t>1 écran plat LCD 42’’HD + mu</w:t>
      </w:r>
      <w:r>
        <w:t>ltimédia player (non compris dans le matériel de l’exposition) pour diffuser de courtes capsules vidéos de projets recherches, dessins et de séquences tournées à l’atelier de l’artiste.</w:t>
      </w:r>
    </w:p>
    <w:p w:rsidR="00DF7ED8" w:rsidRDefault="00832153">
      <w:r>
        <w:t xml:space="preserve">1 écran plat LCD 42’’HD + multimédia player et 3 casques (non compris </w:t>
      </w:r>
      <w:r>
        <w:t>dans le matériel de l’exposition) permettant la diffusion d’un interview de l’artiste (50 minutes).</w:t>
      </w:r>
    </w:p>
    <w:p w:rsidR="00DF7ED8" w:rsidRDefault="00DF7ED8"/>
    <w:p w:rsidR="00DF7ED8" w:rsidRDefault="00832153">
      <w:pPr>
        <w:pStyle w:val="Paragraphedeliste"/>
        <w:numPr>
          <w:ilvl w:val="0"/>
          <w:numId w:val="3"/>
        </w:numPr>
        <w:spacing w:line="259" w:lineRule="auto"/>
        <w:rPr>
          <w:b/>
        </w:rPr>
      </w:pPr>
      <w:r>
        <w:rPr>
          <w:b/>
        </w:rPr>
        <w:lastRenderedPageBreak/>
        <w:t xml:space="preserve">COMMUNICATION </w:t>
      </w:r>
    </w:p>
    <w:p w:rsidR="00DF7ED8" w:rsidRDefault="00832153">
      <w:r>
        <w:t xml:space="preserve">Guide du visiteur existant à adapter à la scénographie. </w:t>
      </w:r>
    </w:p>
    <w:p w:rsidR="00DF7ED8" w:rsidRDefault="00832153">
      <w:r>
        <w:t>Panneaux d’introduction muraux dans chaque espace.</w:t>
      </w:r>
    </w:p>
    <w:p w:rsidR="00DF7ED8" w:rsidRDefault="00DF7ED8"/>
    <w:p w:rsidR="00DF7ED8" w:rsidRDefault="00832153">
      <w:pPr>
        <w:pStyle w:val="Paragraphedeliste"/>
        <w:numPr>
          <w:ilvl w:val="0"/>
          <w:numId w:val="3"/>
        </w:numPr>
        <w:spacing w:line="259" w:lineRule="auto"/>
        <w:rPr>
          <w:b/>
        </w:rPr>
      </w:pPr>
      <w:r>
        <w:rPr>
          <w:b/>
        </w:rPr>
        <w:t>MISE EN LUMIERE</w:t>
      </w:r>
    </w:p>
    <w:p w:rsidR="00DF7ED8" w:rsidRDefault="00832153">
      <w:r>
        <w:t>La mise en lumi</w:t>
      </w:r>
      <w:r>
        <w:t>ère devra être adaptée au lieu.</w:t>
      </w:r>
    </w:p>
    <w:p w:rsidR="00DF7ED8" w:rsidRDefault="00DF7ED8">
      <w:pPr>
        <w:rPr>
          <w:b/>
        </w:rPr>
      </w:pPr>
    </w:p>
    <w:p w:rsidR="00DF7ED8" w:rsidRDefault="00832153">
      <w:pPr>
        <w:pStyle w:val="Paragraphedeliste"/>
        <w:numPr>
          <w:ilvl w:val="0"/>
          <w:numId w:val="3"/>
        </w:numPr>
        <w:spacing w:line="259" w:lineRule="auto"/>
        <w:rPr>
          <w:b/>
        </w:rPr>
      </w:pPr>
      <w:r>
        <w:rPr>
          <w:b/>
        </w:rPr>
        <w:t>Conditionnement pour le transport.</w:t>
      </w:r>
    </w:p>
    <w:p w:rsidR="00DF7ED8" w:rsidRDefault="00832153">
      <w:r>
        <w:t xml:space="preserve">Les objets et maquettes sont conditionnés en caisses : total </w:t>
      </w:r>
      <w:r>
        <w:rPr>
          <w:u w:val="single"/>
        </w:rPr>
        <w:t>+</w:t>
      </w:r>
      <w:r>
        <w:t xml:space="preserve"> 3 m².</w:t>
      </w:r>
    </w:p>
    <w:p w:rsidR="00DF7ED8" w:rsidRDefault="00832153">
      <w:r>
        <w:t xml:space="preserve">Le matériel d’exposition représente un volume total de </w:t>
      </w:r>
      <w:r>
        <w:rPr>
          <w:u w:val="single"/>
        </w:rPr>
        <w:t>+</w:t>
      </w:r>
      <w:r>
        <w:t>9 m².</w:t>
      </w:r>
    </w:p>
    <w:p w:rsidR="00DF7ED8" w:rsidRDefault="00DF7ED8"/>
    <w:p w:rsidR="00DF7ED8" w:rsidRDefault="00DF7ED8"/>
    <w:p w:rsidR="00DF7ED8" w:rsidRDefault="00DF7ED8"/>
    <w:p w:rsidR="00DF7ED8" w:rsidRDefault="00DF7ED8"/>
    <w:sectPr w:rsidR="00DF7ED8">
      <w:footerReference w:type="even" r:id="rId20"/>
      <w:footerReference w:type="default" r:id="rId21"/>
      <w:pgSz w:w="11900" w:h="16840"/>
      <w:pgMar w:top="1417" w:right="1417" w:bottom="1417" w:left="1417" w:header="708" w:footer="708" w:gutter="0"/>
      <w:cols w:space="708"/>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7FFF5AF" w16cid:durableId="1EA42BAC"/>
  <w16cid:commentId w16cid:paraId="5A8F7683" w16cid:durableId="1EA42BAE"/>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F7ED8" w:rsidRDefault="00832153">
      <w:r>
        <w:separator/>
      </w:r>
    </w:p>
  </w:endnote>
  <w:endnote w:type="continuationSeparator" w:id="0">
    <w:p w:rsidR="00DF7ED8" w:rsidRDefault="008321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NotCourierSans">
    <w:altName w:val="Times New Roman"/>
    <w:charset w:val="00"/>
    <w:family w:val="roman"/>
    <w:pitch w:val="variable"/>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Bozar AM">
    <w:altName w:val="Times New Roman"/>
    <w:charset w:val="00"/>
    <w:family w:val="roman"/>
    <w:pitch w:val="variable"/>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ED8" w:rsidRDefault="0083215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rsidR="00DF7ED8" w:rsidRDefault="00DF7ED8">
    <w:pPr>
      <w:pStyle w:val="Pieddepag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F7ED8" w:rsidRDefault="00832153">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Pr>
        <w:rStyle w:val="Numrodepage"/>
        <w:noProof/>
      </w:rPr>
      <w:t>1</w:t>
    </w:r>
    <w:r>
      <w:rPr>
        <w:rStyle w:val="Numrodepage"/>
      </w:rPr>
      <w:fldChar w:fldCharType="end"/>
    </w:r>
  </w:p>
  <w:p w:rsidR="00DF7ED8" w:rsidRDefault="00DF7ED8">
    <w:pPr>
      <w:pStyle w:val="Pieddepag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F7ED8" w:rsidRDefault="00832153">
      <w:r>
        <w:separator/>
      </w:r>
    </w:p>
  </w:footnote>
  <w:footnote w:type="continuationSeparator" w:id="0">
    <w:p w:rsidR="00DF7ED8" w:rsidRDefault="0083215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A8B161D"/>
    <w:multiLevelType w:val="multilevel"/>
    <w:tmpl w:val="4960406A"/>
    <w:lvl w:ilvl="0">
      <w:start w:val="1"/>
      <w:numFmt w:val="decimal"/>
      <w:lvlText w:val="%1."/>
      <w:lvlJc w:val="left"/>
      <w:pPr>
        <w:ind w:left="643" w:hanging="360"/>
      </w:pPr>
      <w:rPr>
        <w:rFonts w:hint="default"/>
      </w:rPr>
    </w:lvl>
    <w:lvl w:ilvl="1">
      <w:start w:val="1"/>
      <w:numFmt w:val="decimal"/>
      <w:isLgl/>
      <w:lvlText w:val="%1.%2."/>
      <w:lvlJc w:val="left"/>
      <w:pPr>
        <w:ind w:left="1003" w:hanging="72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363" w:hanging="108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723" w:hanging="1440"/>
      </w:pPr>
      <w:rPr>
        <w:rFonts w:hint="default"/>
      </w:rPr>
    </w:lvl>
    <w:lvl w:ilvl="6">
      <w:start w:val="1"/>
      <w:numFmt w:val="decimal"/>
      <w:isLgl/>
      <w:lvlText w:val="%1.%2.%3.%4.%5.%6.%7."/>
      <w:lvlJc w:val="left"/>
      <w:pPr>
        <w:ind w:left="1723" w:hanging="1440"/>
      </w:pPr>
      <w:rPr>
        <w:rFonts w:hint="default"/>
      </w:rPr>
    </w:lvl>
    <w:lvl w:ilvl="7">
      <w:start w:val="1"/>
      <w:numFmt w:val="decimal"/>
      <w:isLgl/>
      <w:lvlText w:val="%1.%2.%3.%4.%5.%6.%7.%8."/>
      <w:lvlJc w:val="left"/>
      <w:pPr>
        <w:ind w:left="2083" w:hanging="1800"/>
      </w:pPr>
      <w:rPr>
        <w:rFonts w:hint="default"/>
      </w:rPr>
    </w:lvl>
    <w:lvl w:ilvl="8">
      <w:start w:val="1"/>
      <w:numFmt w:val="decimal"/>
      <w:isLgl/>
      <w:lvlText w:val="%1.%2.%3.%4.%5.%6.%7.%8.%9."/>
      <w:lvlJc w:val="left"/>
      <w:pPr>
        <w:ind w:left="2083" w:hanging="1800"/>
      </w:pPr>
      <w:rPr>
        <w:rFonts w:hint="default"/>
      </w:rPr>
    </w:lvl>
  </w:abstractNum>
  <w:abstractNum w:abstractNumId="1">
    <w:nsid w:val="61733467"/>
    <w:multiLevelType w:val="hybridMultilevel"/>
    <w:tmpl w:val="ADD4541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746C1EF1"/>
    <w:multiLevelType w:val="hybridMultilevel"/>
    <w:tmpl w:val="38D829EE"/>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7ED8"/>
    <w:rsid w:val="00832153"/>
    <w:rsid w:val="00DF7ED8"/>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eastAsiaTheme="minorEastAsia"/>
      <w:sz w:val="24"/>
      <w:szCs w:val="24"/>
      <w:lang w:val="fr-FR" w:eastAsia="ja-JP"/>
    </w:rPr>
  </w:style>
  <w:style w:type="paragraph" w:styleId="Titre1">
    <w:name w:val="heading 1"/>
    <w:basedOn w:val="Normal"/>
    <w:next w:val="Normal"/>
    <w:link w:val="Titre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pPr>
      <w:ind w:left="720"/>
      <w:contextualSpacing/>
    </w:pPr>
  </w:style>
  <w:style w:type="character" w:styleId="Lienhypertexte">
    <w:name w:val="Hyperlink"/>
    <w:basedOn w:val="Policepardfaut"/>
    <w:uiPriority w:val="99"/>
    <w:rPr>
      <w:color w:val="0563C1" w:themeColor="hyperlink"/>
      <w:u w:val="single"/>
    </w:rPr>
  </w:style>
  <w:style w:type="paragraph" w:customStyle="1" w:styleId="Standard">
    <w:name w:val="Standard"/>
    <w:pPr>
      <w:widowControl w:val="0"/>
      <w:suppressAutoHyphens/>
      <w:autoSpaceDN w:val="0"/>
      <w:spacing w:after="0" w:line="240" w:lineRule="auto"/>
    </w:pPr>
    <w:rPr>
      <w:rFonts w:ascii="Times New Roman" w:eastAsia="Arial Unicode MS" w:hAnsi="Times New Roman" w:cs="Tahoma"/>
      <w:kern w:val="3"/>
      <w:sz w:val="24"/>
      <w:szCs w:val="24"/>
      <w:lang w:val="fr-BE" w:eastAsia="fr-BE"/>
    </w:rPr>
  </w:style>
  <w:style w:type="paragraph" w:styleId="Pieddepage">
    <w:name w:val="footer"/>
    <w:basedOn w:val="Normal"/>
    <w:link w:val="PieddepageCar"/>
    <w:pPr>
      <w:tabs>
        <w:tab w:val="center" w:pos="4536"/>
        <w:tab w:val="right" w:pos="9072"/>
      </w:tabs>
    </w:pPr>
  </w:style>
  <w:style w:type="character" w:customStyle="1" w:styleId="PieddepageCar">
    <w:name w:val="Pied de page Car"/>
    <w:basedOn w:val="Policepardfaut"/>
    <w:link w:val="Pieddepage"/>
    <w:rPr>
      <w:rFonts w:eastAsiaTheme="minorEastAsia"/>
      <w:sz w:val="24"/>
      <w:szCs w:val="24"/>
      <w:lang w:val="fr-FR" w:eastAsia="ja-JP"/>
    </w:rPr>
  </w:style>
  <w:style w:type="character" w:styleId="Numrodepage">
    <w:name w:val="page number"/>
    <w:basedOn w:val="Policepardfaut"/>
  </w:style>
  <w:style w:type="character" w:customStyle="1" w:styleId="A3">
    <w:name w:val="A3"/>
    <w:uiPriority w:val="99"/>
    <w:rPr>
      <w:rFonts w:cs="NotCourierSans"/>
      <w:color w:val="221E1F"/>
      <w:sz w:val="16"/>
      <w:szCs w:val="16"/>
    </w:rPr>
  </w:style>
  <w:style w:type="paragraph" w:customStyle="1" w:styleId="Pa0">
    <w:name w:val="Pa0"/>
    <w:basedOn w:val="Normal"/>
    <w:next w:val="Normal"/>
    <w:uiPriority w:val="99"/>
    <w:pPr>
      <w:widowControl w:val="0"/>
      <w:autoSpaceDE w:val="0"/>
      <w:autoSpaceDN w:val="0"/>
      <w:adjustRightInd w:val="0"/>
      <w:spacing w:line="241" w:lineRule="atLeast"/>
    </w:pPr>
    <w:rPr>
      <w:rFonts w:ascii="NotCourierSans" w:hAnsi="NotCourierSans" w:cs="Times New Roman"/>
      <w:lang w:eastAsia="fr-FR"/>
    </w:rPr>
  </w:style>
  <w:style w:type="character" w:customStyle="1" w:styleId="Titre1Car">
    <w:name w:val="Titre 1 Car"/>
    <w:basedOn w:val="Policepardfaut"/>
    <w:link w:val="Titre1"/>
    <w:uiPriority w:val="9"/>
    <w:rPr>
      <w:rFonts w:asciiTheme="majorHAnsi" w:eastAsiaTheme="majorEastAsia" w:hAnsiTheme="majorHAnsi" w:cstheme="majorBidi"/>
      <w:color w:val="2F5496" w:themeColor="accent1" w:themeShade="BF"/>
      <w:sz w:val="32"/>
      <w:szCs w:val="32"/>
      <w:lang w:val="fr-FR" w:eastAsia="ja-JP"/>
    </w:rPr>
  </w:style>
  <w:style w:type="paragraph" w:styleId="En-ttedetabledesmatires">
    <w:name w:val="TOC Heading"/>
    <w:basedOn w:val="Titre1"/>
    <w:next w:val="Normal"/>
    <w:uiPriority w:val="39"/>
    <w:unhideWhenUsed/>
    <w:qFormat/>
    <w:pPr>
      <w:spacing w:line="259" w:lineRule="auto"/>
      <w:outlineLvl w:val="9"/>
    </w:pPr>
    <w:rPr>
      <w:lang w:val="en-US" w:eastAsia="en-US"/>
    </w:rPr>
  </w:style>
  <w:style w:type="paragraph" w:styleId="TM1">
    <w:name w:val="toc 1"/>
    <w:basedOn w:val="Normal"/>
    <w:next w:val="Normal"/>
    <w:autoRedefine/>
    <w:uiPriority w:val="39"/>
    <w:unhideWhenUsed/>
    <w:pPr>
      <w:spacing w:after="100"/>
    </w:p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rFonts w:eastAsiaTheme="minorEastAsia"/>
      <w:sz w:val="20"/>
      <w:szCs w:val="20"/>
      <w:lang w:val="fr-FR" w:eastAsia="ja-JP"/>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eastAsiaTheme="minorEastAsia"/>
      <w:b/>
      <w:bCs/>
      <w:sz w:val="20"/>
      <w:szCs w:val="20"/>
      <w:lang w:val="fr-FR" w:eastAsia="ja-JP"/>
    </w:rPr>
  </w:style>
  <w:style w:type="paragraph" w:styleId="Textedebulles">
    <w:name w:val="Balloon Text"/>
    <w:basedOn w:val="Normal"/>
    <w:link w:val="TextedebullesCar"/>
    <w:uiPriority w:val="99"/>
    <w:semiHidden/>
    <w:unhideWhenUsed/>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eastAsiaTheme="minorEastAsia" w:hAnsi="Segoe UI" w:cs="Segoe UI"/>
      <w:sz w:val="18"/>
      <w:szCs w:val="18"/>
      <w:lang w:val="fr-FR" w:eastAsia="ja-JP"/>
    </w:rPr>
  </w:style>
  <w:style w:type="paragraph" w:styleId="Lgende">
    <w:name w:val="caption"/>
    <w:basedOn w:val="Normal"/>
    <w:next w:val="Normal"/>
    <w:uiPriority w:val="35"/>
    <w:semiHidden/>
    <w:unhideWhenUsed/>
    <w:qFormat/>
    <w:rPr>
      <w:rFonts w:ascii="Arial" w:eastAsia="Calibri" w:hAnsi="Arial" w:cs="Times New Roman"/>
      <w:i/>
      <w:iCs/>
      <w:color w:val="44546A" w:themeColor="text2"/>
      <w:sz w:val="18"/>
      <w:szCs w:val="18"/>
      <w:lang w:val="fr-BE" w:eastAsia="en-US"/>
    </w:rPr>
  </w:style>
  <w:style w:type="paragraph" w:styleId="Sous-titre">
    <w:name w:val="Subtitle"/>
    <w:basedOn w:val="Normal"/>
    <w:next w:val="Normal"/>
    <w:link w:val="Sous-titreCar"/>
    <w:uiPriority w:val="11"/>
    <w:qFormat/>
    <w:pPr>
      <w:numPr>
        <w:ilvl w:val="1"/>
      </w:numPr>
      <w:spacing w:after="160"/>
    </w:pPr>
    <w:rPr>
      <w:color w:val="5A5A5A" w:themeColor="text1" w:themeTint="A5"/>
      <w:spacing w:val="15"/>
      <w:sz w:val="22"/>
      <w:szCs w:val="22"/>
    </w:rPr>
  </w:style>
  <w:style w:type="character" w:customStyle="1" w:styleId="Sous-titreCar">
    <w:name w:val="Sous-titre Car"/>
    <w:basedOn w:val="Policepardfaut"/>
    <w:link w:val="Sous-titre"/>
    <w:uiPriority w:val="11"/>
    <w:rPr>
      <w:rFonts w:eastAsiaTheme="minorEastAsia"/>
      <w:color w:val="5A5A5A" w:themeColor="text1" w:themeTint="A5"/>
      <w:spacing w:val="15"/>
      <w:lang w:val="fr-FR" w:eastAsia="ja-JP"/>
    </w:rPr>
  </w:style>
  <w:style w:type="character" w:customStyle="1" w:styleId="Titre2Car">
    <w:name w:val="Titre 2 Car"/>
    <w:basedOn w:val="Policepardfaut"/>
    <w:link w:val="Titre2"/>
    <w:uiPriority w:val="9"/>
    <w:rPr>
      <w:rFonts w:asciiTheme="majorHAnsi" w:eastAsiaTheme="majorEastAsia" w:hAnsiTheme="majorHAnsi" w:cstheme="majorBidi"/>
      <w:color w:val="2F5496" w:themeColor="accent1" w:themeShade="BF"/>
      <w:sz w:val="26"/>
      <w:szCs w:val="26"/>
      <w:lang w:val="fr-FR" w:eastAsia="ja-JP"/>
    </w:rPr>
  </w:style>
  <w:style w:type="paragraph" w:styleId="TM2">
    <w:name w:val="toc 2"/>
    <w:basedOn w:val="Normal"/>
    <w:next w:val="Normal"/>
    <w:autoRedefine/>
    <w:uiPriority w:val="39"/>
    <w:unhideWhenUsed/>
    <w:pPr>
      <w:spacing w:after="100"/>
      <w:ind w:left="240"/>
    </w:pPr>
  </w:style>
  <w:style w:type="paragraph" w:styleId="En-tte">
    <w:name w:val="header"/>
    <w:basedOn w:val="Normal"/>
    <w:link w:val="En-tteCar"/>
    <w:uiPriority w:val="99"/>
    <w:unhideWhenUsed/>
    <w:pPr>
      <w:tabs>
        <w:tab w:val="center" w:pos="4536"/>
        <w:tab w:val="right" w:pos="9072"/>
      </w:tabs>
    </w:pPr>
  </w:style>
  <w:style w:type="character" w:customStyle="1" w:styleId="En-tteCar">
    <w:name w:val="En-tête Car"/>
    <w:basedOn w:val="Policepardfaut"/>
    <w:link w:val="En-tte"/>
    <w:uiPriority w:val="99"/>
    <w:rPr>
      <w:rFonts w:eastAsiaTheme="minorEastAsia"/>
      <w:sz w:val="24"/>
      <w:szCs w:val="24"/>
      <w:lang w:val="fr-FR"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pPr>
    <w:rPr>
      <w:rFonts w:eastAsiaTheme="minorEastAsia"/>
      <w:sz w:val="24"/>
      <w:szCs w:val="24"/>
      <w:lang w:val="fr-FR" w:eastAsia="ja-JP"/>
    </w:rPr>
  </w:style>
  <w:style w:type="paragraph" w:styleId="Titre1">
    <w:name w:val="heading 1"/>
    <w:basedOn w:val="Normal"/>
    <w:next w:val="Normal"/>
    <w:link w:val="Titre1Car"/>
    <w:uiPriority w:val="9"/>
    <w:qFormat/>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pPr>
      <w:ind w:left="720"/>
      <w:contextualSpacing/>
    </w:pPr>
  </w:style>
  <w:style w:type="character" w:styleId="Lienhypertexte">
    <w:name w:val="Hyperlink"/>
    <w:basedOn w:val="Policepardfaut"/>
    <w:uiPriority w:val="99"/>
    <w:rPr>
      <w:color w:val="0563C1" w:themeColor="hyperlink"/>
      <w:u w:val="single"/>
    </w:rPr>
  </w:style>
  <w:style w:type="paragraph" w:customStyle="1" w:styleId="Standard">
    <w:name w:val="Standard"/>
    <w:pPr>
      <w:widowControl w:val="0"/>
      <w:suppressAutoHyphens/>
      <w:autoSpaceDN w:val="0"/>
      <w:spacing w:after="0" w:line="240" w:lineRule="auto"/>
    </w:pPr>
    <w:rPr>
      <w:rFonts w:ascii="Times New Roman" w:eastAsia="Arial Unicode MS" w:hAnsi="Times New Roman" w:cs="Tahoma"/>
      <w:kern w:val="3"/>
      <w:sz w:val="24"/>
      <w:szCs w:val="24"/>
      <w:lang w:val="fr-BE" w:eastAsia="fr-BE"/>
    </w:rPr>
  </w:style>
  <w:style w:type="paragraph" w:styleId="Pieddepage">
    <w:name w:val="footer"/>
    <w:basedOn w:val="Normal"/>
    <w:link w:val="PieddepageCar"/>
    <w:pPr>
      <w:tabs>
        <w:tab w:val="center" w:pos="4536"/>
        <w:tab w:val="right" w:pos="9072"/>
      </w:tabs>
    </w:pPr>
  </w:style>
  <w:style w:type="character" w:customStyle="1" w:styleId="PieddepageCar">
    <w:name w:val="Pied de page Car"/>
    <w:basedOn w:val="Policepardfaut"/>
    <w:link w:val="Pieddepage"/>
    <w:rPr>
      <w:rFonts w:eastAsiaTheme="minorEastAsia"/>
      <w:sz w:val="24"/>
      <w:szCs w:val="24"/>
      <w:lang w:val="fr-FR" w:eastAsia="ja-JP"/>
    </w:rPr>
  </w:style>
  <w:style w:type="character" w:styleId="Numrodepage">
    <w:name w:val="page number"/>
    <w:basedOn w:val="Policepardfaut"/>
  </w:style>
  <w:style w:type="character" w:customStyle="1" w:styleId="A3">
    <w:name w:val="A3"/>
    <w:uiPriority w:val="99"/>
    <w:rPr>
      <w:rFonts w:cs="NotCourierSans"/>
      <w:color w:val="221E1F"/>
      <w:sz w:val="16"/>
      <w:szCs w:val="16"/>
    </w:rPr>
  </w:style>
  <w:style w:type="paragraph" w:customStyle="1" w:styleId="Pa0">
    <w:name w:val="Pa0"/>
    <w:basedOn w:val="Normal"/>
    <w:next w:val="Normal"/>
    <w:uiPriority w:val="99"/>
    <w:pPr>
      <w:widowControl w:val="0"/>
      <w:autoSpaceDE w:val="0"/>
      <w:autoSpaceDN w:val="0"/>
      <w:adjustRightInd w:val="0"/>
      <w:spacing w:line="241" w:lineRule="atLeast"/>
    </w:pPr>
    <w:rPr>
      <w:rFonts w:ascii="NotCourierSans" w:hAnsi="NotCourierSans" w:cs="Times New Roman"/>
      <w:lang w:eastAsia="fr-FR"/>
    </w:rPr>
  </w:style>
  <w:style w:type="character" w:customStyle="1" w:styleId="Titre1Car">
    <w:name w:val="Titre 1 Car"/>
    <w:basedOn w:val="Policepardfaut"/>
    <w:link w:val="Titre1"/>
    <w:uiPriority w:val="9"/>
    <w:rPr>
      <w:rFonts w:asciiTheme="majorHAnsi" w:eastAsiaTheme="majorEastAsia" w:hAnsiTheme="majorHAnsi" w:cstheme="majorBidi"/>
      <w:color w:val="2F5496" w:themeColor="accent1" w:themeShade="BF"/>
      <w:sz w:val="32"/>
      <w:szCs w:val="32"/>
      <w:lang w:val="fr-FR" w:eastAsia="ja-JP"/>
    </w:rPr>
  </w:style>
  <w:style w:type="paragraph" w:styleId="En-ttedetabledesmatires">
    <w:name w:val="TOC Heading"/>
    <w:basedOn w:val="Titre1"/>
    <w:next w:val="Normal"/>
    <w:uiPriority w:val="39"/>
    <w:unhideWhenUsed/>
    <w:qFormat/>
    <w:pPr>
      <w:spacing w:line="259" w:lineRule="auto"/>
      <w:outlineLvl w:val="9"/>
    </w:pPr>
    <w:rPr>
      <w:lang w:val="en-US" w:eastAsia="en-US"/>
    </w:rPr>
  </w:style>
  <w:style w:type="paragraph" w:styleId="TM1">
    <w:name w:val="toc 1"/>
    <w:basedOn w:val="Normal"/>
    <w:next w:val="Normal"/>
    <w:autoRedefine/>
    <w:uiPriority w:val="39"/>
    <w:unhideWhenUsed/>
    <w:pPr>
      <w:spacing w:after="100"/>
    </w:pPr>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semiHidden/>
    <w:unhideWhenUsed/>
    <w:rPr>
      <w:sz w:val="20"/>
      <w:szCs w:val="20"/>
    </w:rPr>
  </w:style>
  <w:style w:type="character" w:customStyle="1" w:styleId="CommentaireCar">
    <w:name w:val="Commentaire Car"/>
    <w:basedOn w:val="Policepardfaut"/>
    <w:link w:val="Commentaire"/>
    <w:uiPriority w:val="99"/>
    <w:semiHidden/>
    <w:rPr>
      <w:rFonts w:eastAsiaTheme="minorEastAsia"/>
      <w:sz w:val="20"/>
      <w:szCs w:val="20"/>
      <w:lang w:val="fr-FR" w:eastAsia="ja-JP"/>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rFonts w:eastAsiaTheme="minorEastAsia"/>
      <w:b/>
      <w:bCs/>
      <w:sz w:val="20"/>
      <w:szCs w:val="20"/>
      <w:lang w:val="fr-FR" w:eastAsia="ja-JP"/>
    </w:rPr>
  </w:style>
  <w:style w:type="paragraph" w:styleId="Textedebulles">
    <w:name w:val="Balloon Text"/>
    <w:basedOn w:val="Normal"/>
    <w:link w:val="TextedebullesCar"/>
    <w:uiPriority w:val="99"/>
    <w:semiHidden/>
    <w:unhideWhenUsed/>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eastAsiaTheme="minorEastAsia" w:hAnsi="Segoe UI" w:cs="Segoe UI"/>
      <w:sz w:val="18"/>
      <w:szCs w:val="18"/>
      <w:lang w:val="fr-FR" w:eastAsia="ja-JP"/>
    </w:rPr>
  </w:style>
  <w:style w:type="paragraph" w:styleId="Lgende">
    <w:name w:val="caption"/>
    <w:basedOn w:val="Normal"/>
    <w:next w:val="Normal"/>
    <w:uiPriority w:val="35"/>
    <w:semiHidden/>
    <w:unhideWhenUsed/>
    <w:qFormat/>
    <w:rPr>
      <w:rFonts w:ascii="Arial" w:eastAsia="Calibri" w:hAnsi="Arial" w:cs="Times New Roman"/>
      <w:i/>
      <w:iCs/>
      <w:color w:val="44546A" w:themeColor="text2"/>
      <w:sz w:val="18"/>
      <w:szCs w:val="18"/>
      <w:lang w:val="fr-BE" w:eastAsia="en-US"/>
    </w:rPr>
  </w:style>
  <w:style w:type="paragraph" w:styleId="Sous-titre">
    <w:name w:val="Subtitle"/>
    <w:basedOn w:val="Normal"/>
    <w:next w:val="Normal"/>
    <w:link w:val="Sous-titreCar"/>
    <w:uiPriority w:val="11"/>
    <w:qFormat/>
    <w:pPr>
      <w:numPr>
        <w:ilvl w:val="1"/>
      </w:numPr>
      <w:spacing w:after="160"/>
    </w:pPr>
    <w:rPr>
      <w:color w:val="5A5A5A" w:themeColor="text1" w:themeTint="A5"/>
      <w:spacing w:val="15"/>
      <w:sz w:val="22"/>
      <w:szCs w:val="22"/>
    </w:rPr>
  </w:style>
  <w:style w:type="character" w:customStyle="1" w:styleId="Sous-titreCar">
    <w:name w:val="Sous-titre Car"/>
    <w:basedOn w:val="Policepardfaut"/>
    <w:link w:val="Sous-titre"/>
    <w:uiPriority w:val="11"/>
    <w:rPr>
      <w:rFonts w:eastAsiaTheme="minorEastAsia"/>
      <w:color w:val="5A5A5A" w:themeColor="text1" w:themeTint="A5"/>
      <w:spacing w:val="15"/>
      <w:lang w:val="fr-FR" w:eastAsia="ja-JP"/>
    </w:rPr>
  </w:style>
  <w:style w:type="character" w:customStyle="1" w:styleId="Titre2Car">
    <w:name w:val="Titre 2 Car"/>
    <w:basedOn w:val="Policepardfaut"/>
    <w:link w:val="Titre2"/>
    <w:uiPriority w:val="9"/>
    <w:rPr>
      <w:rFonts w:asciiTheme="majorHAnsi" w:eastAsiaTheme="majorEastAsia" w:hAnsiTheme="majorHAnsi" w:cstheme="majorBidi"/>
      <w:color w:val="2F5496" w:themeColor="accent1" w:themeShade="BF"/>
      <w:sz w:val="26"/>
      <w:szCs w:val="26"/>
      <w:lang w:val="fr-FR" w:eastAsia="ja-JP"/>
    </w:rPr>
  </w:style>
  <w:style w:type="paragraph" w:styleId="TM2">
    <w:name w:val="toc 2"/>
    <w:basedOn w:val="Normal"/>
    <w:next w:val="Normal"/>
    <w:autoRedefine/>
    <w:uiPriority w:val="39"/>
    <w:unhideWhenUsed/>
    <w:pPr>
      <w:spacing w:after="100"/>
      <w:ind w:left="240"/>
    </w:pPr>
  </w:style>
  <w:style w:type="paragraph" w:styleId="En-tte">
    <w:name w:val="header"/>
    <w:basedOn w:val="Normal"/>
    <w:link w:val="En-tteCar"/>
    <w:uiPriority w:val="99"/>
    <w:unhideWhenUsed/>
    <w:pPr>
      <w:tabs>
        <w:tab w:val="center" w:pos="4536"/>
        <w:tab w:val="right" w:pos="9072"/>
      </w:tabs>
    </w:pPr>
  </w:style>
  <w:style w:type="character" w:customStyle="1" w:styleId="En-tteCar">
    <w:name w:val="En-tête Car"/>
    <w:basedOn w:val="Policepardfaut"/>
    <w:link w:val="En-tte"/>
    <w:uiPriority w:val="99"/>
    <w:rPr>
      <w:rFonts w:eastAsiaTheme="minorEastAsia"/>
      <w:sz w:val="24"/>
      <w:szCs w:val="24"/>
      <w:lang w:val="fr-FR"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3E312C-C731-4C15-A45E-15D65E90FB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3009</Words>
  <Characters>16554</Characters>
  <Application>Microsoft Office Word</Application>
  <DocSecurity>4</DocSecurity>
  <Lines>137</Lines>
  <Paragraphs>39</Paragraphs>
  <ScaleCrop>false</ScaleCrop>
  <HeadingPairs>
    <vt:vector size="6" baseType="variant">
      <vt:variant>
        <vt:lpstr>Titre</vt:lpstr>
      </vt:variant>
      <vt:variant>
        <vt:i4>1</vt:i4>
      </vt:variant>
      <vt:variant>
        <vt:lpstr>Title</vt:lpstr>
      </vt:variant>
      <vt:variant>
        <vt:i4>1</vt:i4>
      </vt:variant>
      <vt:variant>
        <vt:lpstr>Headings</vt:lpstr>
      </vt:variant>
      <vt:variant>
        <vt:i4>12</vt:i4>
      </vt:variant>
    </vt:vector>
  </HeadingPairs>
  <TitlesOfParts>
    <vt:vector size="14" baseType="lpstr">
      <vt:lpstr/>
      <vt:lpstr/>
      <vt:lpstr>L’exposition</vt:lpstr>
      <vt:lpstr>    Introduction</vt:lpstr>
      <vt:lpstr>    Foyer 4 : Architecture</vt:lpstr>
      <vt:lpstr>    Foyer 3 : Collectes</vt:lpstr>
      <vt:lpstr>    Peintures photos recherches</vt:lpstr>
      <vt:lpstr>    Interventions in situ : Hall Horta, Foyer 3 et Salle des accords</vt:lpstr>
      <vt:lpstr>2. Biographie de Jean Glibert </vt:lpstr>
      <vt:lpstr>3. Les commissaires</vt:lpstr>
      <vt:lpstr>4. Publications</vt:lpstr>
      <vt:lpstr>5. Médiation et activités autour de l’exposition </vt:lpstr>
      <vt:lpstr>6. Informations pratiques</vt:lpstr>
      <vt:lpstr>7. Contacts presse </vt:lpstr>
    </vt:vector>
  </TitlesOfParts>
  <Company/>
  <LinksUpToDate>false</LinksUpToDate>
  <CharactersWithSpaces>19524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Porteman Barbara</dc:creator>
  <cp:lastModifiedBy>sci</cp:lastModifiedBy>
  <cp:revision>2</cp:revision>
  <cp:lastPrinted>2018-05-09T13:26:00Z</cp:lastPrinted>
  <dcterms:created xsi:type="dcterms:W3CDTF">2020-06-17T12:56:00Z</dcterms:created>
  <dcterms:modified xsi:type="dcterms:W3CDTF">2020-06-17T12:56:00Z</dcterms:modified>
</cp:coreProperties>
</file>